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2463F07"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bookmarkStart w:id="0" w:name="_GoBack"/>
      <w:bookmarkEnd w:id="0"/>
    </w:p>
    <w:p w14:paraId="42463F08" w14:textId="77777777" w:rsidR="00183ED7" w:rsidRDefault="005C5CBA">
      <w:pPr>
        <w:pBdr>
          <w:top w:val="nil"/>
          <w:left w:val="nil"/>
          <w:bottom w:val="nil"/>
          <w:right w:val="nil"/>
          <w:between w:val="nil"/>
        </w:pBdr>
        <w:spacing w:after="160" w:line="259" w:lineRule="auto"/>
        <w:jc w:val="center"/>
        <w:rPr>
          <w:rFonts w:ascii="Calibri" w:eastAsia="Calibri" w:hAnsi="Calibri" w:cs="Calibri"/>
          <w:b/>
          <w:color w:val="000000"/>
          <w:sz w:val="28"/>
          <w:szCs w:val="28"/>
        </w:rPr>
      </w:pPr>
      <w:r>
        <w:rPr>
          <w:rFonts w:ascii="Calibri" w:eastAsia="Calibri" w:hAnsi="Calibri" w:cs="Calibri"/>
          <w:b/>
          <w:color w:val="000000"/>
          <w:sz w:val="28"/>
          <w:szCs w:val="28"/>
        </w:rPr>
        <w:t>Editorial guidelines for Modeling of hypersensitivity conditions</w:t>
      </w:r>
    </w:p>
    <w:p w14:paraId="42463F09" w14:textId="77777777" w:rsidR="00183ED7" w:rsidRDefault="005C5CBA">
      <w:pPr>
        <w:pBdr>
          <w:top w:val="nil"/>
          <w:left w:val="nil"/>
          <w:bottom w:val="nil"/>
          <w:right w:val="nil"/>
          <w:between w:val="nil"/>
        </w:pBdr>
        <w:spacing w:after="160" w:line="259" w:lineRule="auto"/>
        <w:jc w:val="center"/>
        <w:rPr>
          <w:rFonts w:ascii="Calibri" w:eastAsia="Calibri" w:hAnsi="Calibri" w:cs="Calibri"/>
          <w:color w:val="000000"/>
          <w:sz w:val="28"/>
          <w:szCs w:val="28"/>
        </w:rPr>
      </w:pPr>
      <w:r>
        <w:rPr>
          <w:rFonts w:ascii="Calibri" w:eastAsia="Calibri" w:hAnsi="Calibri" w:cs="Calibri"/>
          <w:color w:val="000000"/>
          <w:sz w:val="28"/>
          <w:szCs w:val="28"/>
        </w:rPr>
        <w:t>Bruce Goldberg, MD, PhD</w:t>
      </w:r>
    </w:p>
    <w:p w14:paraId="42463F0A"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0B"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The modeling of hypersensitivity conditions including allergy and non-immunologic hypersensitivity (pseudoallergy) conditions is based on the SDP (Structure, Disposition, Process) paradigm for which clinical entities can be described as either abnormal str</w:t>
      </w:r>
      <w:r>
        <w:rPr>
          <w:rFonts w:ascii="Calibri" w:eastAsia="Calibri" w:hAnsi="Calibri" w:cs="Calibri"/>
          <w:color w:val="000000"/>
          <w:sz w:val="22"/>
          <w:szCs w:val="22"/>
        </w:rPr>
        <w:t>uctures, dispositions or processes or their disjunction (conditions)</w:t>
      </w:r>
      <w:r>
        <w:rPr>
          <w:rFonts w:ascii="Calibri" w:eastAsia="Calibri" w:hAnsi="Calibri" w:cs="Calibri"/>
          <w:color w:val="000000"/>
          <w:sz w:val="22"/>
          <w:szCs w:val="22"/>
          <w:vertAlign w:val="superscript"/>
        </w:rPr>
        <w:footnoteReference w:id="1"/>
      </w:r>
      <w:r>
        <w:rPr>
          <w:rFonts w:ascii="Calibri" w:eastAsia="Calibri" w:hAnsi="Calibri" w:cs="Calibri"/>
          <w:color w:val="000000"/>
          <w:sz w:val="22"/>
          <w:szCs w:val="22"/>
        </w:rPr>
        <w:t>.</w:t>
      </w:r>
    </w:p>
    <w:p w14:paraId="42463F0C"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New pathological process (qualifier value) hierarchy</w:t>
      </w:r>
    </w:p>
    <w:p w14:paraId="42463F0D"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Hypersensitivity disorders and reactions are defined by underlying pathological processes while hypersensitivity dispositions are defined by their realization as pathological processes. In order to fully describe the full range of hypersensitivity response</w:t>
      </w:r>
      <w:r>
        <w:rPr>
          <w:rFonts w:ascii="Calibri" w:eastAsia="Calibri" w:hAnsi="Calibri" w:cs="Calibri"/>
          <w:color w:val="000000"/>
          <w:sz w:val="22"/>
          <w:szCs w:val="22"/>
        </w:rPr>
        <w:t>s, additional qualifier values have been added under the Pathological process (qualifier value) subhierarchy as shown below:</w:t>
      </w:r>
    </w:p>
    <w:p w14:paraId="42463F0E"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BF" wp14:editId="42463FC0">
            <wp:extent cx="4228571" cy="3847620"/>
            <wp:effectExtent l="0" t="0" r="0" b="0"/>
            <wp:docPr id="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
                    <a:srcRect/>
                    <a:stretch>
                      <a:fillRect/>
                    </a:stretch>
                  </pic:blipFill>
                  <pic:spPr>
                    <a:xfrm>
                      <a:off x="0" y="0"/>
                      <a:ext cx="4228571" cy="3847620"/>
                    </a:xfrm>
                    <a:prstGeom prst="rect">
                      <a:avLst/>
                    </a:prstGeom>
                    <a:ln/>
                  </pic:spPr>
                </pic:pic>
              </a:graphicData>
            </a:graphic>
          </wp:inline>
        </w:drawing>
      </w:r>
    </w:p>
    <w:p w14:paraId="42463F0F"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Disorder of immune function</w:t>
      </w:r>
    </w:p>
    <w:p w14:paraId="42463F10"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Defining 414029004 |Disorder of immune function (disorder)|using a pathological process of |Abnormal </w:t>
      </w:r>
      <w:r>
        <w:rPr>
          <w:rFonts w:ascii="Calibri" w:eastAsia="Calibri" w:hAnsi="Calibri" w:cs="Calibri"/>
          <w:color w:val="000000"/>
          <w:sz w:val="22"/>
          <w:szCs w:val="22"/>
        </w:rPr>
        <w:t xml:space="preserve">immune </w:t>
      </w:r>
      <w:r>
        <w:rPr>
          <w:rFonts w:ascii="Calibri" w:eastAsia="Calibri" w:hAnsi="Calibri" w:cs="Calibri"/>
          <w:sz w:val="22"/>
          <w:szCs w:val="22"/>
        </w:rPr>
        <w:t>process</w:t>
      </w:r>
      <w:r>
        <w:rPr>
          <w:rFonts w:ascii="Calibri" w:eastAsia="Calibri" w:hAnsi="Calibri" w:cs="Calibri"/>
          <w:color w:val="000000"/>
          <w:sz w:val="22"/>
          <w:szCs w:val="22"/>
        </w:rPr>
        <w:t xml:space="preserve"> (qualifier value)| as shown in the hierarchy above, will allow allergic and autoimmune disorders to correctly classify as disorders of immune function. </w:t>
      </w:r>
    </w:p>
    <w:p w14:paraId="42463F11"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 xml:space="preserve">Top level hierarchies </w:t>
      </w:r>
    </w:p>
    <w:p w14:paraId="42463F12"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lastRenderedPageBreak/>
        <w:t>The top level Hypersensitivity condition is a primitive class and</w:t>
      </w:r>
      <w:r>
        <w:rPr>
          <w:rFonts w:ascii="Calibri" w:eastAsia="Calibri" w:hAnsi="Calibri" w:cs="Calibri"/>
          <w:color w:val="000000"/>
          <w:sz w:val="22"/>
          <w:szCs w:val="22"/>
        </w:rPr>
        <w:t xml:space="preserve"> subsumes Allergic condition and Nonallergic hypersensitivity (pseudoallergic) condition as per the WAO/EAAACI nomenclature</w:t>
      </w:r>
      <w:r>
        <w:rPr>
          <w:rFonts w:ascii="Calibri" w:eastAsia="Calibri" w:hAnsi="Calibri" w:cs="Calibri"/>
          <w:color w:val="000000"/>
          <w:sz w:val="22"/>
          <w:szCs w:val="22"/>
          <w:vertAlign w:val="superscript"/>
        </w:rPr>
        <w:footnoteReference w:id="2"/>
      </w:r>
      <w:r>
        <w:rPr>
          <w:rFonts w:ascii="Calibri" w:eastAsia="Calibri" w:hAnsi="Calibri" w:cs="Calibri"/>
          <w:color w:val="000000"/>
          <w:sz w:val="22"/>
          <w:szCs w:val="22"/>
          <w:vertAlign w:val="superscript"/>
        </w:rPr>
        <w:t>,</w:t>
      </w:r>
      <w:r>
        <w:rPr>
          <w:rFonts w:ascii="Calibri" w:eastAsia="Calibri" w:hAnsi="Calibri" w:cs="Calibri"/>
          <w:color w:val="000000"/>
          <w:sz w:val="22"/>
          <w:szCs w:val="22"/>
          <w:vertAlign w:val="superscript"/>
        </w:rPr>
        <w:footnoteReference w:id="3"/>
      </w:r>
      <w:r>
        <w:rPr>
          <w:rFonts w:ascii="Calibri" w:eastAsia="Calibri" w:hAnsi="Calibri" w:cs="Calibri"/>
          <w:color w:val="000000"/>
          <w:sz w:val="22"/>
          <w:szCs w:val="22"/>
        </w:rPr>
        <w:t xml:space="preserve">. </w:t>
      </w:r>
      <w:commentRangeStart w:id="1"/>
      <w:commentRangeStart w:id="2"/>
      <w:commentRangeStart w:id="3"/>
      <w:commentRangeStart w:id="4"/>
      <w:commentRangeStart w:id="5"/>
      <w:r>
        <w:rPr>
          <w:rFonts w:ascii="Calibri" w:eastAsia="Calibri" w:hAnsi="Calibri" w:cs="Calibri"/>
          <w:color w:val="000000"/>
          <w:sz w:val="22"/>
          <w:szCs w:val="22"/>
        </w:rPr>
        <w:t>Hypersensitivity condition</w:t>
      </w:r>
      <w:commentRangeEnd w:id="1"/>
      <w:r>
        <w:commentReference w:id="1"/>
      </w:r>
      <w:commentRangeEnd w:id="2"/>
      <w:r>
        <w:commentReference w:id="2"/>
      </w:r>
      <w:commentRangeEnd w:id="3"/>
      <w:r>
        <w:commentReference w:id="3"/>
      </w:r>
      <w:commentRangeEnd w:id="4"/>
      <w:r>
        <w:commentReference w:id="4"/>
      </w:r>
      <w:commentRangeEnd w:id="5"/>
      <w:r>
        <w:commentReference w:id="5"/>
      </w:r>
      <w:r>
        <w:rPr>
          <w:rFonts w:ascii="Calibri" w:eastAsia="Calibri" w:hAnsi="Calibri" w:cs="Calibri"/>
          <w:color w:val="000000"/>
          <w:sz w:val="22"/>
          <w:szCs w:val="22"/>
        </w:rPr>
        <w:t xml:space="preserve"> is a direct descendant of clinical finding. Allergic and Nonallergic hypersensitivity (pseudoallergic) condition both of which are primitive each have three main subhierachies representing diseases (mostly abnormal structures), processes (allergic and non</w:t>
      </w:r>
      <w:r>
        <w:rPr>
          <w:rFonts w:ascii="Calibri" w:eastAsia="Calibri" w:hAnsi="Calibri" w:cs="Calibri"/>
          <w:color w:val="000000"/>
          <w:sz w:val="22"/>
          <w:szCs w:val="22"/>
        </w:rPr>
        <w:t xml:space="preserve">allergic hypersensitivity (pseudoallergic) reactions) and findings of propensities to developing allergic and nonallergic hypersensitivity (pseudoallergic) reactions (dispositions). </w:t>
      </w:r>
    </w:p>
    <w:p w14:paraId="42463F13"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The following are hierarchical relationships between hypersensitivity conditions discussed in this guidance:</w:t>
      </w:r>
    </w:p>
    <w:p w14:paraId="42463F14"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Clinical finding</w:t>
      </w:r>
    </w:p>
    <w:p w14:paraId="42463F15" w14:textId="77777777" w:rsidR="00183ED7" w:rsidRDefault="005C5CBA">
      <w:pPr>
        <w:numPr>
          <w:ilvl w:val="0"/>
          <w:numId w:val="11"/>
        </w:numPr>
        <w:pBdr>
          <w:top w:val="nil"/>
          <w:left w:val="nil"/>
          <w:bottom w:val="nil"/>
          <w:right w:val="nil"/>
          <w:between w:val="nil"/>
        </w:pBdr>
        <w:spacing w:after="160" w:line="259" w:lineRule="auto"/>
      </w:pPr>
      <w:r>
        <w:rPr>
          <w:rFonts w:ascii="Calibri" w:eastAsia="Calibri" w:hAnsi="Calibri" w:cs="Calibri"/>
          <w:color w:val="000000"/>
          <w:sz w:val="22"/>
          <w:szCs w:val="22"/>
        </w:rPr>
        <w:t>Propensity to adverse reaction (finding)</w:t>
      </w:r>
    </w:p>
    <w:p w14:paraId="42463F16" w14:textId="77777777" w:rsidR="00183ED7" w:rsidRDefault="005C5CBA">
      <w:pPr>
        <w:numPr>
          <w:ilvl w:val="2"/>
          <w:numId w:val="1"/>
        </w:numPr>
        <w:pBdr>
          <w:top w:val="nil"/>
          <w:left w:val="nil"/>
          <w:bottom w:val="nil"/>
          <w:right w:val="nil"/>
          <w:between w:val="nil"/>
        </w:pBdr>
        <w:spacing w:after="160" w:line="259" w:lineRule="auto"/>
      </w:pPr>
      <w:r>
        <w:rPr>
          <w:rFonts w:ascii="Calibri" w:eastAsia="Calibri" w:hAnsi="Calibri" w:cs="Calibri"/>
          <w:color w:val="000000"/>
          <w:sz w:val="22"/>
          <w:szCs w:val="22"/>
        </w:rPr>
        <w:t>Allergic disposition (finding)</w:t>
      </w:r>
    </w:p>
    <w:p w14:paraId="42463F17" w14:textId="77777777" w:rsidR="00183ED7" w:rsidRDefault="005C5CBA">
      <w:pPr>
        <w:numPr>
          <w:ilvl w:val="2"/>
          <w:numId w:val="1"/>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disposition (finding)</w:t>
      </w:r>
    </w:p>
    <w:p w14:paraId="42463F18" w14:textId="77777777" w:rsidR="00183ED7" w:rsidRDefault="005C5CBA">
      <w:pPr>
        <w:numPr>
          <w:ilvl w:val="2"/>
          <w:numId w:val="1"/>
        </w:numPr>
        <w:pBdr>
          <w:top w:val="nil"/>
          <w:left w:val="nil"/>
          <w:bottom w:val="nil"/>
          <w:right w:val="nil"/>
          <w:between w:val="nil"/>
        </w:pBdr>
        <w:spacing w:after="160" w:line="259" w:lineRule="auto"/>
      </w:pPr>
      <w:r>
        <w:rPr>
          <w:rFonts w:ascii="Calibri" w:eastAsia="Calibri" w:hAnsi="Calibri" w:cs="Calibri"/>
          <w:color w:val="000000"/>
          <w:sz w:val="22"/>
          <w:szCs w:val="22"/>
        </w:rPr>
        <w:t>Propens</w:t>
      </w:r>
      <w:r>
        <w:rPr>
          <w:rFonts w:ascii="Calibri" w:eastAsia="Calibri" w:hAnsi="Calibri" w:cs="Calibri"/>
          <w:color w:val="000000"/>
          <w:sz w:val="22"/>
          <w:szCs w:val="22"/>
        </w:rPr>
        <w:t>ity to adverse reactions to substance (finding)</w:t>
      </w:r>
    </w:p>
    <w:p w14:paraId="42463F19" w14:textId="77777777" w:rsidR="00183ED7" w:rsidRDefault="005C5CBA">
      <w:pPr>
        <w:numPr>
          <w:ilvl w:val="3"/>
          <w:numId w:val="1"/>
        </w:numPr>
        <w:pBdr>
          <w:top w:val="nil"/>
          <w:left w:val="nil"/>
          <w:bottom w:val="nil"/>
          <w:right w:val="nil"/>
          <w:between w:val="nil"/>
        </w:pBdr>
        <w:spacing w:after="160" w:line="259" w:lineRule="auto"/>
      </w:pPr>
      <w:r>
        <w:rPr>
          <w:rFonts w:ascii="Calibri" w:eastAsia="Calibri" w:hAnsi="Calibri" w:cs="Calibri"/>
          <w:color w:val="000000"/>
          <w:sz w:val="22"/>
          <w:szCs w:val="22"/>
        </w:rPr>
        <w:t>Intolerance to substance (finding)</w:t>
      </w:r>
    </w:p>
    <w:p w14:paraId="42463F1B" w14:textId="77777777" w:rsidR="00183ED7" w:rsidRDefault="005C5CBA">
      <w:pPr>
        <w:numPr>
          <w:ilvl w:val="0"/>
          <w:numId w:val="11"/>
        </w:numPr>
        <w:pBdr>
          <w:top w:val="nil"/>
          <w:left w:val="nil"/>
          <w:bottom w:val="nil"/>
          <w:right w:val="nil"/>
          <w:between w:val="nil"/>
        </w:pBdr>
        <w:spacing w:after="160" w:line="259" w:lineRule="auto"/>
      </w:pPr>
      <w:r>
        <w:rPr>
          <w:rFonts w:ascii="Calibri" w:eastAsia="Calibri" w:hAnsi="Calibri" w:cs="Calibri"/>
          <w:color w:val="000000"/>
          <w:sz w:val="22"/>
          <w:szCs w:val="22"/>
        </w:rPr>
        <w:t>Hypersensitivity condition (finding)</w:t>
      </w:r>
    </w:p>
    <w:p w14:paraId="42463F1C" w14:textId="77777777" w:rsidR="00183ED7" w:rsidRDefault="00183ED7">
      <w:pPr>
        <w:pBdr>
          <w:top w:val="nil"/>
          <w:left w:val="nil"/>
          <w:bottom w:val="nil"/>
          <w:right w:val="nil"/>
          <w:between w:val="nil"/>
        </w:pBdr>
        <w:spacing w:after="160" w:line="259" w:lineRule="auto"/>
        <w:ind w:left="720" w:hanging="720"/>
        <w:rPr>
          <w:rFonts w:ascii="Calibri" w:eastAsia="Calibri" w:hAnsi="Calibri" w:cs="Calibri"/>
          <w:color w:val="000000"/>
          <w:sz w:val="22"/>
          <w:szCs w:val="22"/>
        </w:rPr>
      </w:pPr>
    </w:p>
    <w:p w14:paraId="42463F1D" w14:textId="77777777" w:rsidR="00183ED7" w:rsidRDefault="005C5CBA">
      <w:pPr>
        <w:numPr>
          <w:ilvl w:val="1"/>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condition (finding)</w:t>
      </w:r>
    </w:p>
    <w:p w14:paraId="42463F1E"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disease (disorder)</w:t>
      </w:r>
    </w:p>
    <w:p w14:paraId="42463F1F"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contact dermatitis (disorder)</w:t>
      </w:r>
    </w:p>
    <w:p w14:paraId="42463F20"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contact urticaria (disorder)</w:t>
      </w:r>
    </w:p>
    <w:p w14:paraId="42463F21"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disposition (finding)</w:t>
      </w:r>
    </w:p>
    <w:p w14:paraId="42463F22"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Allergy to X (finding)</w:t>
      </w:r>
    </w:p>
    <w:p w14:paraId="42463F23"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reaction (disorder)</w:t>
      </w:r>
    </w:p>
    <w:p w14:paraId="42463F24" w14:textId="77777777" w:rsidR="00183ED7" w:rsidRDefault="00183ED7">
      <w:pPr>
        <w:pBdr>
          <w:top w:val="nil"/>
          <w:left w:val="nil"/>
          <w:bottom w:val="nil"/>
          <w:right w:val="nil"/>
          <w:between w:val="nil"/>
        </w:pBdr>
        <w:spacing w:after="160" w:line="259" w:lineRule="auto"/>
        <w:ind w:left="2160" w:hanging="720"/>
        <w:rPr>
          <w:rFonts w:ascii="Calibri" w:eastAsia="Calibri" w:hAnsi="Calibri" w:cs="Calibri"/>
          <w:color w:val="000000"/>
          <w:sz w:val="22"/>
          <w:szCs w:val="22"/>
        </w:rPr>
      </w:pPr>
    </w:p>
    <w:p w14:paraId="42463F25" w14:textId="77777777" w:rsidR="00183ED7" w:rsidRDefault="005C5CBA">
      <w:pPr>
        <w:numPr>
          <w:ilvl w:val="1"/>
          <w:numId w:val="2"/>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condition (finding)</w:t>
      </w:r>
    </w:p>
    <w:p w14:paraId="42463F26"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disease (disorder)</w:t>
      </w:r>
    </w:p>
    <w:p w14:paraId="42463F27"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Irritant contact dermatitis (disorder)</w:t>
      </w:r>
    </w:p>
    <w:p w14:paraId="42463F28"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disposition (finding)</w:t>
      </w:r>
    </w:p>
    <w:p w14:paraId="42463F29"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reaction (disorder)</w:t>
      </w:r>
    </w:p>
    <w:p w14:paraId="42463F2A" w14:textId="77777777" w:rsidR="00183ED7" w:rsidRDefault="00183ED7">
      <w:pPr>
        <w:pBdr>
          <w:top w:val="nil"/>
          <w:left w:val="nil"/>
          <w:bottom w:val="nil"/>
          <w:right w:val="nil"/>
          <w:between w:val="nil"/>
        </w:pBdr>
        <w:spacing w:after="160" w:line="259" w:lineRule="auto"/>
        <w:ind w:left="2160" w:hanging="720"/>
        <w:rPr>
          <w:rFonts w:ascii="Calibri" w:eastAsia="Calibri" w:hAnsi="Calibri" w:cs="Calibri"/>
          <w:color w:val="000000"/>
          <w:sz w:val="22"/>
          <w:szCs w:val="22"/>
        </w:rPr>
      </w:pPr>
    </w:p>
    <w:p w14:paraId="42463F2B" w14:textId="77777777" w:rsidR="00183ED7" w:rsidRDefault="005C5CBA">
      <w:pPr>
        <w:numPr>
          <w:ilvl w:val="1"/>
          <w:numId w:val="2"/>
        </w:numPr>
        <w:pBdr>
          <w:top w:val="nil"/>
          <w:left w:val="nil"/>
          <w:bottom w:val="nil"/>
          <w:right w:val="nil"/>
          <w:between w:val="nil"/>
        </w:pBdr>
        <w:spacing w:after="160" w:line="259" w:lineRule="auto"/>
      </w:pPr>
      <w:r>
        <w:rPr>
          <w:rFonts w:ascii="Calibri" w:eastAsia="Calibri" w:hAnsi="Calibri" w:cs="Calibri"/>
          <w:color w:val="000000"/>
          <w:sz w:val="22"/>
          <w:szCs w:val="22"/>
        </w:rPr>
        <w:lastRenderedPageBreak/>
        <w:t>Contact hypersensitivity disorder (disorder)</w:t>
      </w:r>
    </w:p>
    <w:p w14:paraId="42463F2C"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Contact dermatitis (disorder)</w:t>
      </w:r>
    </w:p>
    <w:p w14:paraId="42463F2D"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contact dermatitis (disorder)</w:t>
      </w:r>
    </w:p>
    <w:p w14:paraId="42463F2E"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Irritant contact dermatitis (disorder)</w:t>
      </w:r>
    </w:p>
    <w:p w14:paraId="42463F2F" w14:textId="77777777" w:rsidR="00183ED7" w:rsidRDefault="005C5CBA">
      <w:pPr>
        <w:numPr>
          <w:ilvl w:val="2"/>
          <w:numId w:val="2"/>
        </w:numPr>
        <w:pBdr>
          <w:top w:val="nil"/>
          <w:left w:val="nil"/>
          <w:bottom w:val="nil"/>
          <w:right w:val="nil"/>
          <w:between w:val="nil"/>
        </w:pBdr>
        <w:spacing w:after="160" w:line="259" w:lineRule="auto"/>
      </w:pPr>
      <w:r>
        <w:rPr>
          <w:rFonts w:ascii="Calibri" w:eastAsia="Calibri" w:hAnsi="Calibri" w:cs="Calibri"/>
          <w:color w:val="000000"/>
          <w:sz w:val="22"/>
          <w:szCs w:val="22"/>
        </w:rPr>
        <w:t>Contact urticaria (disorder)</w:t>
      </w:r>
    </w:p>
    <w:p w14:paraId="42463F30" w14:textId="77777777" w:rsidR="00183ED7" w:rsidRDefault="005C5CBA">
      <w:pPr>
        <w:numPr>
          <w:ilvl w:val="3"/>
          <w:numId w:val="2"/>
        </w:numPr>
        <w:pBdr>
          <w:top w:val="nil"/>
          <w:left w:val="nil"/>
          <w:bottom w:val="nil"/>
          <w:right w:val="nil"/>
          <w:between w:val="nil"/>
        </w:pBdr>
        <w:spacing w:after="160" w:line="259" w:lineRule="auto"/>
      </w:pPr>
      <w:r>
        <w:rPr>
          <w:rFonts w:ascii="Calibri" w:eastAsia="Calibri" w:hAnsi="Calibri" w:cs="Calibri"/>
          <w:color w:val="000000"/>
          <w:sz w:val="22"/>
          <w:szCs w:val="22"/>
        </w:rPr>
        <w:t>Allergic contact urticaria</w:t>
      </w:r>
    </w:p>
    <w:p w14:paraId="42463F31" w14:textId="77777777" w:rsidR="00183ED7" w:rsidRDefault="00183ED7">
      <w:pPr>
        <w:pBdr>
          <w:top w:val="nil"/>
          <w:left w:val="nil"/>
          <w:bottom w:val="nil"/>
          <w:right w:val="nil"/>
          <w:between w:val="nil"/>
        </w:pBdr>
        <w:spacing w:after="160" w:line="259" w:lineRule="auto"/>
        <w:ind w:left="360"/>
        <w:rPr>
          <w:rFonts w:ascii="Calibri" w:eastAsia="Calibri" w:hAnsi="Calibri" w:cs="Calibri"/>
          <w:color w:val="000000"/>
          <w:sz w:val="22"/>
          <w:szCs w:val="22"/>
        </w:rPr>
      </w:pPr>
    </w:p>
    <w:p w14:paraId="42463F32" w14:textId="77777777" w:rsidR="00183ED7" w:rsidRDefault="005C5CBA">
      <w:pPr>
        <w:pBdr>
          <w:top w:val="nil"/>
          <w:left w:val="nil"/>
          <w:bottom w:val="nil"/>
          <w:right w:val="nil"/>
          <w:between w:val="nil"/>
        </w:pBdr>
        <w:spacing w:after="160" w:line="259" w:lineRule="auto"/>
        <w:ind w:left="360"/>
        <w:rPr>
          <w:rFonts w:ascii="Calibri" w:eastAsia="Calibri" w:hAnsi="Calibri" w:cs="Calibri"/>
          <w:color w:val="000000"/>
          <w:sz w:val="22"/>
          <w:szCs w:val="22"/>
        </w:rPr>
      </w:pPr>
      <w:r>
        <w:rPr>
          <w:rFonts w:ascii="Calibri" w:eastAsia="Calibri" w:hAnsi="Calibri" w:cs="Calibri"/>
          <w:color w:val="000000"/>
          <w:sz w:val="22"/>
          <w:szCs w:val="22"/>
        </w:rPr>
        <w:t xml:space="preserve">The condition classes are </w:t>
      </w:r>
      <w:commentRangeStart w:id="6"/>
      <w:commentRangeStart w:id="7"/>
      <w:r>
        <w:rPr>
          <w:rFonts w:ascii="Calibri" w:eastAsia="Calibri" w:hAnsi="Calibri" w:cs="Calibri"/>
          <w:color w:val="000000"/>
          <w:sz w:val="22"/>
          <w:szCs w:val="22"/>
        </w:rPr>
        <w:t>represented using GCIs</w:t>
      </w:r>
      <w:commentRangeEnd w:id="6"/>
      <w:r>
        <w:commentReference w:id="6"/>
      </w:r>
      <w:commentRangeEnd w:id="7"/>
      <w:r>
        <w:commentReference w:id="7"/>
      </w:r>
      <w:r>
        <w:rPr>
          <w:rFonts w:ascii="Calibri" w:eastAsia="Calibri" w:hAnsi="Calibri" w:cs="Calibri"/>
          <w:color w:val="000000"/>
          <w:sz w:val="22"/>
          <w:szCs w:val="22"/>
        </w:rPr>
        <w:t xml:space="preserve"> (general concept inclusions)</w:t>
      </w:r>
    </w:p>
    <w:p w14:paraId="42463F33" w14:textId="77777777" w:rsidR="00183ED7" w:rsidRDefault="005C5CBA">
      <w:pPr>
        <w:pBdr>
          <w:top w:val="nil"/>
          <w:left w:val="nil"/>
          <w:bottom w:val="nil"/>
          <w:right w:val="nil"/>
          <w:between w:val="nil"/>
        </w:pBdr>
        <w:spacing w:after="160" w:line="259" w:lineRule="auto"/>
        <w:jc w:val="center"/>
        <w:rPr>
          <w:rFonts w:ascii="Calibri" w:eastAsia="Calibri" w:hAnsi="Calibri" w:cs="Calibri"/>
          <w:color w:val="000000"/>
          <w:sz w:val="22"/>
          <w:szCs w:val="22"/>
        </w:rPr>
      </w:pPr>
      <w:r>
        <w:rPr>
          <w:rFonts w:ascii="Calibri" w:eastAsia="Calibri" w:hAnsi="Calibri" w:cs="Calibri"/>
          <w:noProof/>
          <w:sz w:val="22"/>
          <w:szCs w:val="22"/>
        </w:rPr>
        <w:drawing>
          <wp:inline distT="114300" distB="114300" distL="114300" distR="114300" wp14:anchorId="42463FC1" wp14:editId="42463FC2">
            <wp:extent cx="6858000" cy="2247900"/>
            <wp:effectExtent l="0" t="0" r="0" b="0"/>
            <wp:docPr id="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
                    <a:srcRect/>
                    <a:stretch>
                      <a:fillRect/>
                    </a:stretch>
                  </pic:blipFill>
                  <pic:spPr>
                    <a:xfrm>
                      <a:off x="0" y="0"/>
                      <a:ext cx="6858000" cy="2247900"/>
                    </a:xfrm>
                    <a:prstGeom prst="rect">
                      <a:avLst/>
                    </a:prstGeom>
                    <a:ln/>
                  </pic:spPr>
                </pic:pic>
              </a:graphicData>
            </a:graphic>
          </wp:inline>
        </w:drawing>
      </w:r>
    </w:p>
    <w:p w14:paraId="42463F34" w14:textId="77777777" w:rsidR="00183ED7" w:rsidRDefault="005C5CBA">
      <w:pPr>
        <w:pBdr>
          <w:top w:val="nil"/>
          <w:left w:val="nil"/>
          <w:bottom w:val="nil"/>
          <w:right w:val="nil"/>
          <w:between w:val="nil"/>
        </w:pBdr>
        <w:spacing w:after="160" w:line="259" w:lineRule="auto"/>
        <w:jc w:val="center"/>
        <w:rPr>
          <w:rFonts w:ascii="Calibri" w:eastAsia="Calibri" w:hAnsi="Calibri" w:cs="Calibri"/>
          <w:color w:val="000000"/>
          <w:sz w:val="22"/>
          <w:szCs w:val="22"/>
        </w:rPr>
      </w:pPr>
      <w:r>
        <w:rPr>
          <w:rFonts w:ascii="Calibri" w:eastAsia="Calibri" w:hAnsi="Calibri" w:cs="Calibri"/>
          <w:noProof/>
          <w:sz w:val="22"/>
          <w:szCs w:val="22"/>
        </w:rPr>
        <w:drawing>
          <wp:inline distT="114300" distB="114300" distL="114300" distR="114300" wp14:anchorId="42463FC3" wp14:editId="42463FC4">
            <wp:extent cx="6858000" cy="2247900"/>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6858000" cy="2247900"/>
                    </a:xfrm>
                    <a:prstGeom prst="rect">
                      <a:avLst/>
                    </a:prstGeom>
                    <a:ln/>
                  </pic:spPr>
                </pic:pic>
              </a:graphicData>
            </a:graphic>
          </wp:inline>
        </w:drawing>
      </w:r>
    </w:p>
    <w:p w14:paraId="42463F35" w14:textId="77777777" w:rsidR="00183ED7" w:rsidRDefault="005C5CBA">
      <w:pPr>
        <w:pBdr>
          <w:top w:val="nil"/>
          <w:left w:val="nil"/>
          <w:bottom w:val="nil"/>
          <w:right w:val="nil"/>
          <w:between w:val="nil"/>
        </w:pBdr>
        <w:spacing w:after="160" w:line="259" w:lineRule="auto"/>
        <w:jc w:val="center"/>
        <w:rPr>
          <w:rFonts w:ascii="Calibri" w:eastAsia="Calibri" w:hAnsi="Calibri" w:cs="Calibri"/>
          <w:color w:val="000000"/>
          <w:sz w:val="22"/>
          <w:szCs w:val="22"/>
        </w:rPr>
      </w:pPr>
      <w:r>
        <w:rPr>
          <w:rFonts w:ascii="Calibri" w:eastAsia="Calibri" w:hAnsi="Calibri" w:cs="Calibri"/>
          <w:noProof/>
          <w:sz w:val="22"/>
          <w:szCs w:val="22"/>
        </w:rPr>
        <w:lastRenderedPageBreak/>
        <w:drawing>
          <wp:inline distT="114300" distB="114300" distL="114300" distR="114300" wp14:anchorId="42463FC5" wp14:editId="42463FC6">
            <wp:extent cx="6858000" cy="2260600"/>
            <wp:effectExtent l="0" t="0" r="0" b="0"/>
            <wp:docPr id="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3"/>
                    <a:srcRect/>
                    <a:stretch>
                      <a:fillRect/>
                    </a:stretch>
                  </pic:blipFill>
                  <pic:spPr>
                    <a:xfrm>
                      <a:off x="0" y="0"/>
                      <a:ext cx="6858000" cy="2260600"/>
                    </a:xfrm>
                    <a:prstGeom prst="rect">
                      <a:avLst/>
                    </a:prstGeom>
                    <a:ln/>
                  </pic:spPr>
                </pic:pic>
              </a:graphicData>
            </a:graphic>
          </wp:inline>
        </w:drawing>
      </w:r>
    </w:p>
    <w:p w14:paraId="42463F36"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37"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Allergic and nonallergic hypersensitivity (pseudoallergic) diseases</w:t>
      </w:r>
    </w:p>
    <w:p w14:paraId="42463F38"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These classes represent manifestations of pathologic processes that may result in abnormal structures (e.g. allergic rhinitis). They are defined as diseases containing a role group consisting of an associated morphology and a finding site that represents t</w:t>
      </w:r>
      <w:r>
        <w:rPr>
          <w:rFonts w:ascii="Calibri" w:eastAsia="Calibri" w:hAnsi="Calibri" w:cs="Calibri"/>
          <w:color w:val="000000"/>
          <w:sz w:val="22"/>
          <w:szCs w:val="22"/>
        </w:rPr>
        <w:t>he abnormal structure, a pathological process of hypersensitivity process or one its descendants and if specified, a causative agent relationship to a substance)</w:t>
      </w:r>
    </w:p>
    <w:p w14:paraId="42463F39"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Terming:</w:t>
      </w:r>
    </w:p>
    <w:p w14:paraId="42463F3A"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FSN: Allergic disease X [caused by Y] (disorder)</w:t>
      </w:r>
    </w:p>
    <w:p w14:paraId="42463F3B"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Example: </w:t>
      </w:r>
    </w:p>
    <w:p w14:paraId="42463F3C" w14:textId="77777777" w:rsidR="00183ED7" w:rsidRDefault="005C5CBA">
      <w:pPr>
        <w:numPr>
          <w:ilvl w:val="0"/>
          <w:numId w:val="4"/>
        </w:numPr>
        <w:pBdr>
          <w:top w:val="nil"/>
          <w:left w:val="nil"/>
          <w:bottom w:val="nil"/>
          <w:right w:val="nil"/>
          <w:between w:val="nil"/>
        </w:pBdr>
        <w:spacing w:after="160" w:line="259" w:lineRule="auto"/>
      </w:pPr>
      <w:r>
        <w:rPr>
          <w:rFonts w:ascii="Calibri" w:eastAsia="Calibri" w:hAnsi="Calibri" w:cs="Calibri"/>
          <w:color w:val="000000"/>
          <w:sz w:val="22"/>
          <w:szCs w:val="22"/>
        </w:rPr>
        <w:t>61582004 |Allergic rhiniti</w:t>
      </w:r>
      <w:r>
        <w:rPr>
          <w:rFonts w:ascii="Calibri" w:eastAsia="Calibri" w:hAnsi="Calibri" w:cs="Calibri"/>
          <w:color w:val="000000"/>
          <w:sz w:val="22"/>
          <w:szCs w:val="22"/>
        </w:rPr>
        <w:t>s (disorder)|</w:t>
      </w:r>
    </w:p>
    <w:p w14:paraId="42463F3D" w14:textId="77777777" w:rsidR="00183ED7" w:rsidRDefault="005C5CBA">
      <w:pPr>
        <w:numPr>
          <w:ilvl w:val="0"/>
          <w:numId w:val="4"/>
        </w:numPr>
        <w:pBdr>
          <w:top w:val="nil"/>
          <w:left w:val="nil"/>
          <w:bottom w:val="nil"/>
          <w:right w:val="nil"/>
          <w:between w:val="nil"/>
        </w:pBdr>
        <w:spacing w:after="160" w:line="259" w:lineRule="auto"/>
      </w:pPr>
      <w:r>
        <w:rPr>
          <w:rFonts w:ascii="Calibri" w:eastAsia="Calibri" w:hAnsi="Calibri" w:cs="Calibri"/>
          <w:color w:val="000000"/>
          <w:sz w:val="22"/>
          <w:szCs w:val="22"/>
        </w:rPr>
        <w:t>473460002 |Allergic conjunctivitis (disorder)|</w:t>
      </w:r>
    </w:p>
    <w:p w14:paraId="42463F3E" w14:textId="77777777" w:rsidR="00183ED7" w:rsidRDefault="005C5CBA">
      <w:pPr>
        <w:numPr>
          <w:ilvl w:val="0"/>
          <w:numId w:val="4"/>
        </w:numPr>
        <w:pBdr>
          <w:top w:val="nil"/>
          <w:left w:val="nil"/>
          <w:bottom w:val="nil"/>
          <w:right w:val="nil"/>
          <w:between w:val="nil"/>
        </w:pBdr>
        <w:spacing w:after="160" w:line="259" w:lineRule="auto"/>
      </w:pPr>
      <w:r>
        <w:rPr>
          <w:rFonts w:ascii="Calibri" w:eastAsia="Calibri" w:hAnsi="Calibri" w:cs="Calibri"/>
          <w:color w:val="000000"/>
          <w:sz w:val="22"/>
          <w:szCs w:val="22"/>
        </w:rPr>
        <w:t>91926002 |Allergic rhinitis caused by grass pollen (disorder)|</w:t>
      </w:r>
    </w:p>
    <w:p w14:paraId="42463F3F" w14:textId="77777777" w:rsidR="00183ED7" w:rsidRDefault="005C5CBA">
      <w:pPr>
        <w:numPr>
          <w:ilvl w:val="0"/>
          <w:numId w:val="4"/>
        </w:numPr>
        <w:pBdr>
          <w:top w:val="nil"/>
          <w:left w:val="nil"/>
          <w:bottom w:val="nil"/>
          <w:right w:val="nil"/>
          <w:between w:val="nil"/>
        </w:pBdr>
        <w:spacing w:after="160" w:line="259" w:lineRule="auto"/>
      </w:pPr>
      <w:r>
        <w:rPr>
          <w:rFonts w:ascii="Calibri" w:eastAsia="Calibri" w:hAnsi="Calibri" w:cs="Calibri"/>
          <w:color w:val="000000"/>
          <w:sz w:val="22"/>
          <w:szCs w:val="22"/>
        </w:rPr>
        <w:t>449729000 |Allergic rhinitis caused by house dust mite (disorder)|</w:t>
      </w:r>
    </w:p>
    <w:p w14:paraId="42463F40"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Preferred Term: </w:t>
      </w:r>
    </w:p>
    <w:p w14:paraId="42463F41"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Allergic disease X (caused by Y)</w:t>
      </w:r>
    </w:p>
    <w:p w14:paraId="42463F42"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w:t>
      </w:r>
    </w:p>
    <w:p w14:paraId="42463F43" w14:textId="77777777" w:rsidR="00183ED7" w:rsidRDefault="005C5CBA">
      <w:pPr>
        <w:numPr>
          <w:ilvl w:val="0"/>
          <w:numId w:val="8"/>
        </w:numPr>
        <w:pBdr>
          <w:top w:val="nil"/>
          <w:left w:val="nil"/>
          <w:bottom w:val="nil"/>
          <w:right w:val="nil"/>
          <w:between w:val="nil"/>
        </w:pBdr>
        <w:spacing w:after="160" w:line="259" w:lineRule="auto"/>
      </w:pPr>
      <w:r>
        <w:rPr>
          <w:rFonts w:ascii="Calibri" w:eastAsia="Calibri" w:hAnsi="Calibri" w:cs="Calibri"/>
          <w:color w:val="000000"/>
          <w:sz w:val="22"/>
          <w:szCs w:val="22"/>
        </w:rPr>
        <w:t>Allergic rhinitis</w:t>
      </w:r>
    </w:p>
    <w:p w14:paraId="42463F44" w14:textId="77777777" w:rsidR="00183ED7" w:rsidRDefault="005C5CBA">
      <w:pPr>
        <w:numPr>
          <w:ilvl w:val="0"/>
          <w:numId w:val="8"/>
        </w:numPr>
        <w:pBdr>
          <w:top w:val="nil"/>
          <w:left w:val="nil"/>
          <w:bottom w:val="nil"/>
          <w:right w:val="nil"/>
          <w:between w:val="nil"/>
        </w:pBdr>
        <w:spacing w:after="160" w:line="259" w:lineRule="auto"/>
      </w:pPr>
      <w:r>
        <w:rPr>
          <w:rFonts w:ascii="Calibri" w:eastAsia="Calibri" w:hAnsi="Calibri" w:cs="Calibri"/>
          <w:color w:val="000000"/>
          <w:sz w:val="22"/>
          <w:szCs w:val="22"/>
        </w:rPr>
        <w:t>Allergic conjunctivitis</w:t>
      </w:r>
    </w:p>
    <w:p w14:paraId="42463F45" w14:textId="77777777" w:rsidR="00183ED7" w:rsidRDefault="005C5CBA">
      <w:pPr>
        <w:numPr>
          <w:ilvl w:val="0"/>
          <w:numId w:val="8"/>
        </w:numPr>
        <w:pBdr>
          <w:top w:val="nil"/>
          <w:left w:val="nil"/>
          <w:bottom w:val="nil"/>
          <w:right w:val="nil"/>
          <w:between w:val="nil"/>
        </w:pBdr>
        <w:spacing w:after="160" w:line="259" w:lineRule="auto"/>
      </w:pPr>
      <w:r>
        <w:rPr>
          <w:rFonts w:ascii="Calibri" w:eastAsia="Calibri" w:hAnsi="Calibri" w:cs="Calibri"/>
          <w:color w:val="000000"/>
          <w:sz w:val="22"/>
          <w:szCs w:val="22"/>
        </w:rPr>
        <w:t>Allergic rhinitis caused by grass pollen</w:t>
      </w:r>
    </w:p>
    <w:p w14:paraId="42463F46" w14:textId="77777777" w:rsidR="00183ED7" w:rsidRDefault="005C5CBA">
      <w:pPr>
        <w:numPr>
          <w:ilvl w:val="0"/>
          <w:numId w:val="8"/>
        </w:numPr>
        <w:pBdr>
          <w:top w:val="nil"/>
          <w:left w:val="nil"/>
          <w:bottom w:val="nil"/>
          <w:right w:val="nil"/>
          <w:between w:val="nil"/>
        </w:pBdr>
        <w:spacing w:after="160" w:line="259" w:lineRule="auto"/>
      </w:pPr>
      <w:r>
        <w:rPr>
          <w:rFonts w:ascii="Calibri" w:eastAsia="Calibri" w:hAnsi="Calibri" w:cs="Calibri"/>
          <w:color w:val="000000"/>
          <w:sz w:val="22"/>
          <w:szCs w:val="22"/>
        </w:rPr>
        <w:t>Allergic rhinitis caused by house dust mite</w:t>
      </w:r>
    </w:p>
    <w:p w14:paraId="42463F47"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For naming conventions for causative drug allergens see section on Allergic and Nonalle</w:t>
      </w:r>
      <w:r>
        <w:rPr>
          <w:rFonts w:ascii="Calibri" w:eastAsia="Calibri" w:hAnsi="Calibri" w:cs="Calibri"/>
          <w:color w:val="000000"/>
          <w:sz w:val="22"/>
          <w:szCs w:val="22"/>
        </w:rPr>
        <w:t>rgic hypersensitivity (pseudoallergic) dispositions</w:t>
      </w:r>
    </w:p>
    <w:p w14:paraId="42463F48"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49"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4A"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4B"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Model:</w:t>
      </w:r>
    </w:p>
    <w:p w14:paraId="42463F4C"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C7" wp14:editId="42463FC8">
            <wp:extent cx="3920839" cy="2670161"/>
            <wp:effectExtent l="0" t="0" r="0" b="0"/>
            <wp:docPr id="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4"/>
                    <a:srcRect/>
                    <a:stretch>
                      <a:fillRect/>
                    </a:stretch>
                  </pic:blipFill>
                  <pic:spPr>
                    <a:xfrm>
                      <a:off x="0" y="0"/>
                      <a:ext cx="3920839" cy="2670161"/>
                    </a:xfrm>
                    <a:prstGeom prst="rect">
                      <a:avLst/>
                    </a:prstGeom>
                    <a:ln/>
                  </pic:spPr>
                </pic:pic>
              </a:graphicData>
            </a:graphic>
          </wp:inline>
        </w:drawing>
      </w:r>
    </w:p>
    <w:p w14:paraId="42463F4D"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w:t>
      </w:r>
    </w:p>
    <w:p w14:paraId="42463F4E"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4F"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C9" wp14:editId="42463FCA">
            <wp:extent cx="6858000" cy="1675130"/>
            <wp:effectExtent l="0" t="0" r="0" b="0"/>
            <wp:docPr id="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5"/>
                    <a:srcRect/>
                    <a:stretch>
                      <a:fillRect/>
                    </a:stretch>
                  </pic:blipFill>
                  <pic:spPr>
                    <a:xfrm>
                      <a:off x="0" y="0"/>
                      <a:ext cx="6858000" cy="1675130"/>
                    </a:xfrm>
                    <a:prstGeom prst="rect">
                      <a:avLst/>
                    </a:prstGeom>
                    <a:ln/>
                  </pic:spPr>
                </pic:pic>
              </a:graphicData>
            </a:graphic>
          </wp:inline>
        </w:drawing>
      </w:r>
    </w:p>
    <w:p w14:paraId="42463F50"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noProof/>
          <w:color w:val="000000"/>
          <w:sz w:val="22"/>
          <w:szCs w:val="22"/>
        </w:rPr>
        <w:drawing>
          <wp:inline distT="0" distB="0" distL="0" distR="0" wp14:anchorId="42463FCB" wp14:editId="42463FCC">
            <wp:extent cx="6858000" cy="2185670"/>
            <wp:effectExtent l="0" t="0" r="0" b="0"/>
            <wp:docPr id="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6"/>
                    <a:srcRect/>
                    <a:stretch>
                      <a:fillRect/>
                    </a:stretch>
                  </pic:blipFill>
                  <pic:spPr>
                    <a:xfrm>
                      <a:off x="0" y="0"/>
                      <a:ext cx="6858000" cy="2185670"/>
                    </a:xfrm>
                    <a:prstGeom prst="rect">
                      <a:avLst/>
                    </a:prstGeom>
                    <a:ln/>
                  </pic:spPr>
                </pic:pic>
              </a:graphicData>
            </a:graphic>
          </wp:inline>
        </w:drawing>
      </w:r>
    </w:p>
    <w:p w14:paraId="42463F51"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52"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53"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54"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55"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Allergic and nonallergic hypersensitivity (pseudoallergic) dispositions</w:t>
      </w:r>
    </w:p>
    <w:p w14:paraId="42463F56"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bookmarkStart w:id="8" w:name="_gjdgxs" w:colFirst="0" w:colLast="0"/>
      <w:bookmarkEnd w:id="8"/>
      <w:r>
        <w:rPr>
          <w:rFonts w:ascii="Calibri" w:eastAsia="Calibri" w:hAnsi="Calibri" w:cs="Calibri"/>
          <w:color w:val="000000"/>
          <w:sz w:val="22"/>
          <w:szCs w:val="22"/>
        </w:rPr>
        <w:t>These classes represent propensities to develop allergic or pseudoallergic reactions under appropriate conditions (i.e. allergen exposure). As propensities do not have a pathophysiologic manifestation prior to being realized as processes, allergic and nona</w:t>
      </w:r>
      <w:r>
        <w:rPr>
          <w:rFonts w:ascii="Calibri" w:eastAsia="Calibri" w:hAnsi="Calibri" w:cs="Calibri"/>
          <w:color w:val="000000"/>
          <w:sz w:val="22"/>
          <w:szCs w:val="22"/>
        </w:rPr>
        <w:t>llergic hypersensitivity (pseudoallergic) dispositions are considered to be clinical findings rather than disorders to further distinguish them from their realizations as allergic and nonallergic hypersensitivity (pseudoallergic) reactions. Allergic and no</w:t>
      </w:r>
      <w:r>
        <w:rPr>
          <w:rFonts w:ascii="Calibri" w:eastAsia="Calibri" w:hAnsi="Calibri" w:cs="Calibri"/>
          <w:color w:val="000000"/>
          <w:sz w:val="22"/>
          <w:szCs w:val="22"/>
        </w:rPr>
        <w:t>nallergic hypersensitivity (pseudoallergic) dispositions are defined thus as propensities to adverse reactions and allergic conditions realized as allergic or nonallergic hypersensitivity (pseudoallergic) processes.</w:t>
      </w:r>
    </w:p>
    <w:p w14:paraId="42463F57" w14:textId="77777777" w:rsidR="00183ED7" w:rsidRDefault="005C5CBA">
      <w:pPr>
        <w:pBdr>
          <w:top w:val="nil"/>
          <w:left w:val="nil"/>
          <w:bottom w:val="nil"/>
          <w:right w:val="nil"/>
          <w:between w:val="nil"/>
        </w:pBdr>
        <w:spacing w:after="160" w:line="259" w:lineRule="auto"/>
        <w:rPr>
          <w:color w:val="000000"/>
        </w:rPr>
      </w:pPr>
      <w:r>
        <w:rPr>
          <w:rFonts w:ascii="Calibri" w:eastAsia="Calibri" w:hAnsi="Calibri" w:cs="Calibri"/>
          <w:color w:val="000000"/>
          <w:sz w:val="22"/>
          <w:szCs w:val="22"/>
        </w:rPr>
        <w:t>Terming:</w:t>
      </w:r>
      <w:r>
        <w:rPr>
          <w:color w:val="000000"/>
        </w:rPr>
        <w:t> </w:t>
      </w:r>
    </w:p>
    <w:tbl>
      <w:tblPr>
        <w:tblStyle w:val="a"/>
        <w:tblW w:w="1103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297"/>
        <w:gridCol w:w="9733"/>
      </w:tblGrid>
      <w:tr w:rsidR="00183ED7" w14:paraId="42463F65" w14:textId="77777777">
        <w:trPr>
          <w:trHeight w:val="3040"/>
        </w:trPr>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58" w14:textId="77777777" w:rsidR="00183ED7" w:rsidRDefault="005C5CBA">
            <w:p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t>FSN</w:t>
            </w:r>
          </w:p>
        </w:tc>
        <w:tc>
          <w:tcPr>
            <w:tcW w:w="97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59"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 xml:space="preserve">Use the following pattern </w:t>
            </w:r>
            <w:r>
              <w:rPr>
                <w:rFonts w:ascii="Calibri" w:eastAsia="Calibri" w:hAnsi="Calibri" w:cs="Calibri"/>
                <w:color w:val="000000"/>
                <w:sz w:val="22"/>
                <w:szCs w:val="22"/>
              </w:rPr>
              <w:t xml:space="preserve">for the FSN, with X and Y = INN or the </w:t>
            </w:r>
            <w:r>
              <w:rPr>
                <w:rFonts w:ascii="Calibri" w:eastAsia="Calibri" w:hAnsi="Calibri" w:cs="Calibri"/>
                <w:b/>
                <w:color w:val="000000"/>
                <w:sz w:val="22"/>
                <w:szCs w:val="22"/>
              </w:rPr>
              <w:t>scientific</w:t>
            </w:r>
            <w:r>
              <w:rPr>
                <w:rFonts w:ascii="Calibri" w:eastAsia="Calibri" w:hAnsi="Calibri" w:cs="Calibri"/>
                <w:color w:val="000000"/>
                <w:sz w:val="22"/>
                <w:szCs w:val="22"/>
              </w:rPr>
              <w:t xml:space="preserve"> name of the substance and with X and Y in alphabetical order for concepts representing multiple substances:</w:t>
            </w:r>
          </w:p>
          <w:p w14:paraId="42463F5A" w14:textId="77777777" w:rsidR="00183ED7" w:rsidRDefault="005C5CBA">
            <w:pPr>
              <w:numPr>
                <w:ilvl w:val="0"/>
                <w:numId w:val="5"/>
              </w:numPr>
              <w:pBdr>
                <w:top w:val="nil"/>
                <w:left w:val="nil"/>
                <w:bottom w:val="nil"/>
                <w:right w:val="nil"/>
                <w:between w:val="nil"/>
              </w:pBdr>
            </w:pPr>
            <w:r>
              <w:rPr>
                <w:rFonts w:ascii="Calibri" w:eastAsia="Calibri" w:hAnsi="Calibri" w:cs="Calibri"/>
                <w:color w:val="000000"/>
                <w:sz w:val="22"/>
                <w:szCs w:val="22"/>
              </w:rPr>
              <w:t>Allergy to X (finding)</w:t>
            </w:r>
          </w:p>
          <w:p w14:paraId="42463F5B" w14:textId="77777777" w:rsidR="00183ED7" w:rsidRDefault="005C5CBA">
            <w:pPr>
              <w:numPr>
                <w:ilvl w:val="0"/>
                <w:numId w:val="5"/>
              </w:numPr>
              <w:pBdr>
                <w:top w:val="nil"/>
                <w:left w:val="nil"/>
                <w:bottom w:val="nil"/>
                <w:right w:val="nil"/>
                <w:between w:val="nil"/>
              </w:pBdr>
            </w:pPr>
            <w:r>
              <w:rPr>
                <w:rFonts w:ascii="Calibri" w:eastAsia="Calibri" w:hAnsi="Calibri" w:cs="Calibri"/>
                <w:color w:val="000000"/>
                <w:sz w:val="22"/>
                <w:szCs w:val="22"/>
              </w:rPr>
              <w:t>Allergy to X and Y (finding)</w:t>
            </w:r>
          </w:p>
          <w:p w14:paraId="42463F5C" w14:textId="77777777" w:rsidR="00183ED7" w:rsidRDefault="005C5CBA">
            <w:pPr>
              <w:numPr>
                <w:ilvl w:val="0"/>
                <w:numId w:val="5"/>
              </w:numPr>
              <w:pBdr>
                <w:top w:val="nil"/>
                <w:left w:val="nil"/>
                <w:bottom w:val="nil"/>
                <w:right w:val="nil"/>
                <w:between w:val="nil"/>
              </w:pBdr>
            </w:pPr>
            <w:r>
              <w:rPr>
                <w:rFonts w:ascii="Calibri" w:eastAsia="Calibri" w:hAnsi="Calibri" w:cs="Calibri"/>
                <w:color w:val="000000"/>
                <w:sz w:val="22"/>
                <w:szCs w:val="22"/>
              </w:rPr>
              <w:t>Non-allergic hypersensitivity to X (finding)</w:t>
            </w:r>
          </w:p>
          <w:p w14:paraId="42463F5D" w14:textId="77777777" w:rsidR="00183ED7" w:rsidRDefault="005C5CBA">
            <w:pPr>
              <w:pBdr>
                <w:top w:val="nil"/>
                <w:left w:val="nil"/>
                <w:bottom w:val="nil"/>
                <w:right w:val="nil"/>
                <w:between w:val="nil"/>
              </w:pBdr>
              <w:rPr>
                <w:color w:val="000000"/>
              </w:rPr>
            </w:pPr>
            <w:r>
              <w:rPr>
                <w:color w:val="000000"/>
              </w:rPr>
              <w:t> </w:t>
            </w:r>
          </w:p>
          <w:p w14:paraId="42463F5E"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Example:</w:t>
            </w:r>
          </w:p>
          <w:p w14:paraId="42463F5F"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abacavir (finding)</w:t>
            </w:r>
          </w:p>
          <w:p w14:paraId="42463F60"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paracetamol (finding)</w:t>
            </w:r>
          </w:p>
          <w:p w14:paraId="42463F61"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sulfamethoxazole and trimethoprim (finding)</w:t>
            </w:r>
          </w:p>
          <w:p w14:paraId="42463F62" w14:textId="77777777" w:rsidR="00183ED7" w:rsidRDefault="005C5CBA">
            <w:pPr>
              <w:pBdr>
                <w:top w:val="nil"/>
                <w:left w:val="nil"/>
                <w:bottom w:val="nil"/>
                <w:right w:val="nil"/>
                <w:between w:val="nil"/>
              </w:pBdr>
              <w:ind w:left="360"/>
              <w:rPr>
                <w:rFonts w:ascii="Calibri" w:eastAsia="Calibri" w:hAnsi="Calibri" w:cs="Calibri"/>
                <w:color w:val="000000"/>
                <w:sz w:val="22"/>
                <w:szCs w:val="22"/>
              </w:rPr>
            </w:pPr>
            <w:r>
              <w:rPr>
                <w:rFonts w:ascii="Calibri" w:eastAsia="Calibri" w:hAnsi="Calibri" w:cs="Calibri"/>
                <w:color w:val="000000"/>
                <w:sz w:val="22"/>
                <w:szCs w:val="22"/>
              </w:rPr>
              <w:t>Allergy to Artemisia vulgaris pollen (finding)</w:t>
            </w:r>
          </w:p>
          <w:p w14:paraId="42463F63" w14:textId="77777777" w:rsidR="00183ED7" w:rsidRDefault="005C5CBA">
            <w:pPr>
              <w:pBdr>
                <w:top w:val="nil"/>
                <w:left w:val="nil"/>
                <w:bottom w:val="nil"/>
                <w:right w:val="nil"/>
                <w:between w:val="nil"/>
              </w:pBdr>
              <w:ind w:left="360"/>
              <w:rPr>
                <w:rFonts w:ascii="Calibri" w:eastAsia="Calibri" w:hAnsi="Calibri" w:cs="Calibri"/>
                <w:color w:val="000000"/>
                <w:sz w:val="22"/>
                <w:szCs w:val="22"/>
              </w:rPr>
            </w:pPr>
            <w:r>
              <w:rPr>
                <w:rFonts w:ascii="Calibri" w:eastAsia="Calibri" w:hAnsi="Calibri" w:cs="Calibri"/>
                <w:color w:val="000000"/>
                <w:sz w:val="22"/>
                <w:szCs w:val="22"/>
              </w:rPr>
              <w:t>Non-allergic hypersensitivity to aspartame (finding)</w:t>
            </w:r>
          </w:p>
          <w:p w14:paraId="42463F64"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Non-allergic hypersensitivity to sulfite (finding)</w:t>
            </w:r>
          </w:p>
        </w:tc>
      </w:tr>
      <w:tr w:rsidR="00183ED7" w14:paraId="42463F70" w14:textId="77777777">
        <w:trPr>
          <w:trHeight w:val="3040"/>
        </w:trPr>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66" w14:textId="77777777" w:rsidR="00183ED7" w:rsidRDefault="005C5CBA">
            <w:p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t>Preferred Term</w:t>
            </w:r>
          </w:p>
        </w:tc>
        <w:tc>
          <w:tcPr>
            <w:tcW w:w="97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67"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 xml:space="preserve">Use the following pattern for the Preferred Term, with X and Y = INN or the </w:t>
            </w:r>
            <w:r>
              <w:rPr>
                <w:rFonts w:ascii="Calibri" w:eastAsia="Calibri" w:hAnsi="Calibri" w:cs="Calibri"/>
                <w:b/>
                <w:color w:val="000000"/>
                <w:sz w:val="22"/>
                <w:szCs w:val="22"/>
              </w:rPr>
              <w:t>common</w:t>
            </w:r>
            <w:r>
              <w:rPr>
                <w:rFonts w:ascii="Calibri" w:eastAsia="Calibri" w:hAnsi="Calibri" w:cs="Calibri"/>
                <w:color w:val="000000"/>
                <w:sz w:val="22"/>
                <w:szCs w:val="22"/>
              </w:rPr>
              <w:t xml:space="preserve"> name of the substance and with X and Y in alphabetical order for concepts representing multiple substances:</w:t>
            </w:r>
          </w:p>
          <w:p w14:paraId="42463F68" w14:textId="77777777" w:rsidR="00183ED7" w:rsidRDefault="005C5CBA">
            <w:pPr>
              <w:numPr>
                <w:ilvl w:val="0"/>
                <w:numId w:val="9"/>
              </w:numPr>
              <w:pBdr>
                <w:top w:val="nil"/>
                <w:left w:val="nil"/>
                <w:bottom w:val="nil"/>
                <w:right w:val="nil"/>
                <w:between w:val="nil"/>
              </w:pBdr>
            </w:pPr>
            <w:r>
              <w:rPr>
                <w:rFonts w:ascii="Calibri" w:eastAsia="Calibri" w:hAnsi="Calibri" w:cs="Calibri"/>
                <w:color w:val="000000"/>
                <w:sz w:val="22"/>
                <w:szCs w:val="22"/>
              </w:rPr>
              <w:t>Allergy to X</w:t>
            </w:r>
          </w:p>
          <w:p w14:paraId="42463F69" w14:textId="77777777" w:rsidR="00183ED7" w:rsidRDefault="005C5CBA">
            <w:pPr>
              <w:numPr>
                <w:ilvl w:val="0"/>
                <w:numId w:val="9"/>
              </w:numPr>
              <w:pBdr>
                <w:top w:val="nil"/>
                <w:left w:val="nil"/>
                <w:bottom w:val="nil"/>
                <w:right w:val="nil"/>
                <w:between w:val="nil"/>
              </w:pBdr>
            </w:pPr>
            <w:r>
              <w:rPr>
                <w:rFonts w:ascii="Calibri" w:eastAsia="Calibri" w:hAnsi="Calibri" w:cs="Calibri"/>
                <w:color w:val="000000"/>
                <w:sz w:val="22"/>
                <w:szCs w:val="22"/>
              </w:rPr>
              <w:t>Allergy to X and Y</w:t>
            </w:r>
          </w:p>
          <w:p w14:paraId="42463F6A" w14:textId="77777777" w:rsidR="00183ED7" w:rsidRDefault="005C5CBA">
            <w:pPr>
              <w:pBdr>
                <w:top w:val="nil"/>
                <w:left w:val="nil"/>
                <w:bottom w:val="nil"/>
                <w:right w:val="nil"/>
                <w:between w:val="nil"/>
              </w:pBdr>
              <w:rPr>
                <w:color w:val="000000"/>
              </w:rPr>
            </w:pPr>
            <w:r>
              <w:rPr>
                <w:color w:val="000000"/>
              </w:rPr>
              <w:t> </w:t>
            </w:r>
          </w:p>
          <w:p w14:paraId="42463F6B"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Example:</w:t>
            </w:r>
          </w:p>
          <w:p w14:paraId="42463F6C"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abacavir</w:t>
            </w:r>
          </w:p>
          <w:p w14:paraId="42463F6D"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paracetamol</w:t>
            </w:r>
          </w:p>
          <w:p w14:paraId="42463F6E" w14:textId="77777777" w:rsidR="00183ED7" w:rsidRDefault="005C5CBA">
            <w:pPr>
              <w:pBdr>
                <w:top w:val="nil"/>
                <w:left w:val="nil"/>
                <w:bottom w:val="nil"/>
                <w:right w:val="nil"/>
                <w:between w:val="nil"/>
              </w:pBdr>
              <w:ind w:left="360"/>
              <w:rPr>
                <w:rFonts w:ascii="Arial" w:eastAsia="Arial" w:hAnsi="Arial" w:cs="Arial"/>
                <w:color w:val="000000"/>
                <w:sz w:val="22"/>
                <w:szCs w:val="22"/>
              </w:rPr>
            </w:pPr>
            <w:r>
              <w:rPr>
                <w:rFonts w:ascii="Calibri" w:eastAsia="Calibri" w:hAnsi="Calibri" w:cs="Calibri"/>
                <w:color w:val="000000"/>
                <w:sz w:val="22"/>
                <w:szCs w:val="22"/>
              </w:rPr>
              <w:t>Allergy to sulfamethoxazole and trimethoprim</w:t>
            </w:r>
          </w:p>
          <w:p w14:paraId="42463F6F" w14:textId="77777777" w:rsidR="00183ED7" w:rsidRDefault="005C5CBA">
            <w:pPr>
              <w:pBdr>
                <w:top w:val="nil"/>
                <w:left w:val="nil"/>
                <w:bottom w:val="nil"/>
                <w:right w:val="nil"/>
                <w:between w:val="nil"/>
              </w:pBdr>
              <w:spacing w:after="200"/>
              <w:ind w:left="360"/>
              <w:rPr>
                <w:rFonts w:ascii="Arial" w:eastAsia="Arial" w:hAnsi="Arial" w:cs="Arial"/>
                <w:color w:val="000000"/>
                <w:sz w:val="22"/>
                <w:szCs w:val="22"/>
              </w:rPr>
            </w:pPr>
            <w:r>
              <w:rPr>
                <w:rFonts w:ascii="Calibri" w:eastAsia="Calibri" w:hAnsi="Calibri" w:cs="Calibri"/>
                <w:color w:val="000000"/>
                <w:sz w:val="22"/>
                <w:szCs w:val="22"/>
              </w:rPr>
              <w:t>Allergy to mugwort</w:t>
            </w:r>
          </w:p>
        </w:tc>
      </w:tr>
      <w:tr w:rsidR="00183ED7" w14:paraId="42463F7E" w14:textId="77777777">
        <w:trPr>
          <w:trHeight w:val="2780"/>
        </w:trPr>
        <w:tc>
          <w:tcPr>
            <w:tcW w:w="1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71" w14:textId="77777777" w:rsidR="00183ED7" w:rsidRDefault="005C5CBA">
            <w:p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lastRenderedPageBreak/>
              <w:t>Synonyms</w:t>
            </w:r>
          </w:p>
        </w:tc>
        <w:tc>
          <w:tcPr>
            <w:tcW w:w="97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63F72"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 xml:space="preserve">When the BAN (British Approved Name) and/or USAN (United States Adopted Name) differs from the INN, then synonyms should be added using the following pattern, with Z = BAN or USAN. A synonym containing the </w:t>
            </w:r>
            <w:r>
              <w:rPr>
                <w:rFonts w:ascii="Calibri" w:eastAsia="Calibri" w:hAnsi="Calibri" w:cs="Calibri"/>
                <w:b/>
                <w:color w:val="000000"/>
                <w:sz w:val="22"/>
                <w:szCs w:val="22"/>
              </w:rPr>
              <w:t>scientific</w:t>
            </w:r>
            <w:r>
              <w:rPr>
                <w:rFonts w:ascii="Calibri" w:eastAsia="Calibri" w:hAnsi="Calibri" w:cs="Calibri"/>
                <w:color w:val="000000"/>
                <w:sz w:val="22"/>
                <w:szCs w:val="22"/>
              </w:rPr>
              <w:t xml:space="preserve"> name of the substance should also be ad</w:t>
            </w:r>
            <w:r>
              <w:rPr>
                <w:rFonts w:ascii="Calibri" w:eastAsia="Calibri" w:hAnsi="Calibri" w:cs="Calibri"/>
                <w:color w:val="000000"/>
                <w:sz w:val="22"/>
                <w:szCs w:val="22"/>
              </w:rPr>
              <w:t>ded.</w:t>
            </w:r>
          </w:p>
          <w:p w14:paraId="42463F73" w14:textId="77777777" w:rsidR="00183ED7" w:rsidRDefault="005C5CBA">
            <w:pPr>
              <w:numPr>
                <w:ilvl w:val="0"/>
                <w:numId w:val="12"/>
              </w:numPr>
              <w:pBdr>
                <w:top w:val="nil"/>
                <w:left w:val="nil"/>
                <w:bottom w:val="nil"/>
                <w:right w:val="nil"/>
                <w:between w:val="nil"/>
              </w:pBdr>
            </w:pPr>
            <w:r>
              <w:rPr>
                <w:rFonts w:ascii="Calibri" w:eastAsia="Calibri" w:hAnsi="Calibri" w:cs="Calibri"/>
                <w:color w:val="000000"/>
                <w:sz w:val="22"/>
                <w:szCs w:val="22"/>
              </w:rPr>
              <w:t>Allergy to Z</w:t>
            </w:r>
          </w:p>
          <w:p w14:paraId="42463F74" w14:textId="77777777" w:rsidR="00183ED7" w:rsidRDefault="005C5CBA">
            <w:pPr>
              <w:pBdr>
                <w:top w:val="nil"/>
                <w:left w:val="nil"/>
                <w:bottom w:val="nil"/>
                <w:right w:val="nil"/>
                <w:between w:val="nil"/>
              </w:pBdr>
              <w:rPr>
                <w:color w:val="000000"/>
              </w:rPr>
            </w:pPr>
            <w:r>
              <w:rPr>
                <w:color w:val="000000"/>
              </w:rPr>
              <w:t> </w:t>
            </w:r>
          </w:p>
          <w:p w14:paraId="42463F75" w14:textId="77777777" w:rsidR="00183ED7" w:rsidRDefault="005C5CBA">
            <w:pPr>
              <w:pBdr>
                <w:top w:val="nil"/>
                <w:left w:val="nil"/>
                <w:bottom w:val="nil"/>
                <w:right w:val="nil"/>
                <w:between w:val="nil"/>
              </w:pBdr>
              <w:spacing w:after="200"/>
              <w:rPr>
                <w:color w:val="000000"/>
              </w:rPr>
            </w:pPr>
            <w:r>
              <w:rPr>
                <w:rFonts w:ascii="Calibri" w:eastAsia="Calibri" w:hAnsi="Calibri" w:cs="Calibri"/>
                <w:color w:val="000000"/>
                <w:sz w:val="22"/>
                <w:szCs w:val="22"/>
              </w:rPr>
              <w:t>Example:</w:t>
            </w:r>
          </w:p>
          <w:p w14:paraId="42463F76" w14:textId="77777777" w:rsidR="00183ED7" w:rsidRDefault="005C5CBA">
            <w:pPr>
              <w:numPr>
                <w:ilvl w:val="0"/>
                <w:numId w:val="13"/>
              </w:numPr>
              <w:pBdr>
                <w:top w:val="nil"/>
                <w:left w:val="nil"/>
                <w:bottom w:val="nil"/>
                <w:right w:val="nil"/>
                <w:between w:val="nil"/>
              </w:pBdr>
            </w:pPr>
            <w:r>
              <w:rPr>
                <w:rFonts w:ascii="Calibri" w:eastAsia="Calibri" w:hAnsi="Calibri" w:cs="Calibri"/>
                <w:color w:val="000000"/>
                <w:sz w:val="22"/>
                <w:szCs w:val="22"/>
              </w:rPr>
              <w:t>Allergy to acetaminophen</w:t>
            </w:r>
          </w:p>
          <w:p w14:paraId="42463F77" w14:textId="77777777" w:rsidR="00183ED7" w:rsidRDefault="005C5CBA">
            <w:pPr>
              <w:numPr>
                <w:ilvl w:val="0"/>
                <w:numId w:val="13"/>
              </w:numPr>
              <w:pBdr>
                <w:top w:val="nil"/>
                <w:left w:val="nil"/>
                <w:bottom w:val="nil"/>
                <w:right w:val="nil"/>
                <w:between w:val="nil"/>
              </w:pBdr>
            </w:pPr>
            <w:r>
              <w:rPr>
                <w:rFonts w:ascii="Calibri" w:eastAsia="Calibri" w:hAnsi="Calibri" w:cs="Calibri"/>
                <w:color w:val="000000"/>
                <w:sz w:val="22"/>
                <w:szCs w:val="22"/>
              </w:rPr>
              <w:t>Allergy to acetaminophen and ibuprofen</w:t>
            </w:r>
          </w:p>
          <w:p w14:paraId="42463F78" w14:textId="77777777" w:rsidR="00183ED7" w:rsidRDefault="005C5CBA">
            <w:pPr>
              <w:numPr>
                <w:ilvl w:val="0"/>
                <w:numId w:val="13"/>
              </w:numPr>
              <w:pBdr>
                <w:top w:val="nil"/>
                <w:left w:val="nil"/>
                <w:bottom w:val="nil"/>
                <w:right w:val="nil"/>
                <w:between w:val="nil"/>
              </w:pBdr>
              <w:spacing w:after="200"/>
            </w:pPr>
            <w:r>
              <w:rPr>
                <w:rFonts w:ascii="Calibri" w:eastAsia="Calibri" w:hAnsi="Calibri" w:cs="Calibri"/>
                <w:color w:val="000000"/>
                <w:sz w:val="22"/>
                <w:szCs w:val="22"/>
              </w:rPr>
              <w:t>Allergy to Artemisia vulgaris pollen</w:t>
            </w:r>
          </w:p>
          <w:p w14:paraId="42463F79" w14:textId="77777777" w:rsidR="00183ED7" w:rsidRDefault="005C5CBA">
            <w:p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t>For non-allergic hypersensitivity dispositions an additional description of “Pseudoallergy to X” should be added for legacy retrieval purposes.</w:t>
            </w:r>
          </w:p>
          <w:p w14:paraId="42463F7A" w14:textId="77777777" w:rsidR="00183ED7" w:rsidRDefault="005C5CBA">
            <w:p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t xml:space="preserve">Example: </w:t>
            </w:r>
          </w:p>
          <w:p w14:paraId="42463F7B" w14:textId="77777777" w:rsidR="00183ED7" w:rsidRDefault="005C5CBA">
            <w:pPr>
              <w:numPr>
                <w:ilvl w:val="0"/>
                <w:numId w:val="6"/>
              </w:numPr>
              <w:pBdr>
                <w:top w:val="nil"/>
                <w:left w:val="nil"/>
                <w:bottom w:val="nil"/>
                <w:right w:val="nil"/>
                <w:between w:val="nil"/>
              </w:pBdr>
            </w:pPr>
            <w:r>
              <w:rPr>
                <w:rFonts w:ascii="Calibri" w:eastAsia="Calibri" w:hAnsi="Calibri" w:cs="Calibri"/>
                <w:color w:val="000000"/>
                <w:sz w:val="22"/>
                <w:szCs w:val="22"/>
              </w:rPr>
              <w:t>Pseudoallergy to aspartame</w:t>
            </w:r>
          </w:p>
          <w:p w14:paraId="42463F7C" w14:textId="77777777" w:rsidR="00183ED7" w:rsidRDefault="005C5CBA">
            <w:pPr>
              <w:numPr>
                <w:ilvl w:val="0"/>
                <w:numId w:val="6"/>
              </w:numPr>
              <w:pBdr>
                <w:top w:val="nil"/>
                <w:left w:val="nil"/>
                <w:bottom w:val="nil"/>
                <w:right w:val="nil"/>
                <w:between w:val="nil"/>
              </w:pBdr>
            </w:pPr>
            <w:r>
              <w:rPr>
                <w:rFonts w:ascii="Calibri" w:eastAsia="Calibri" w:hAnsi="Calibri" w:cs="Calibri"/>
                <w:color w:val="000000"/>
                <w:sz w:val="22"/>
                <w:szCs w:val="22"/>
              </w:rPr>
              <w:t>Pseudoallergy to Moexipril</w:t>
            </w:r>
          </w:p>
          <w:p w14:paraId="42463F7D" w14:textId="77777777" w:rsidR="00183ED7" w:rsidRDefault="005C5CBA">
            <w:pPr>
              <w:numPr>
                <w:ilvl w:val="0"/>
                <w:numId w:val="6"/>
              </w:numPr>
              <w:pBdr>
                <w:top w:val="nil"/>
                <w:left w:val="nil"/>
                <w:bottom w:val="nil"/>
                <w:right w:val="nil"/>
                <w:between w:val="nil"/>
              </w:pBdr>
            </w:pPr>
            <w:r>
              <w:rPr>
                <w:rFonts w:ascii="Calibri" w:eastAsia="Calibri" w:hAnsi="Calibri" w:cs="Calibri"/>
                <w:color w:val="000000"/>
                <w:sz w:val="22"/>
                <w:szCs w:val="22"/>
              </w:rPr>
              <w:t>Pseudoallergy to imidapril (disorder)</w:t>
            </w:r>
          </w:p>
        </w:tc>
      </w:tr>
    </w:tbl>
    <w:p w14:paraId="42463F7F" w14:textId="77777777" w:rsidR="00183ED7" w:rsidRDefault="00183ED7">
      <w:pPr>
        <w:widowControl w:val="0"/>
        <w:pBdr>
          <w:top w:val="nil"/>
          <w:left w:val="nil"/>
          <w:bottom w:val="nil"/>
          <w:right w:val="nil"/>
          <w:between w:val="nil"/>
        </w:pBdr>
        <w:rPr>
          <w:color w:val="000000"/>
        </w:rPr>
      </w:pPr>
    </w:p>
    <w:p w14:paraId="42463F80"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81"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Model:</w:t>
      </w:r>
    </w:p>
    <w:p w14:paraId="42463F82"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w:t>
      </w:r>
    </w:p>
    <w:p w14:paraId="42463F83"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84"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CD" wp14:editId="42463FCE">
            <wp:extent cx="4631055" cy="1887855"/>
            <wp:effectExtent l="0" t="0" r="0" b="0"/>
            <wp:docPr id="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7"/>
                    <a:srcRect/>
                    <a:stretch>
                      <a:fillRect/>
                    </a:stretch>
                  </pic:blipFill>
                  <pic:spPr>
                    <a:xfrm>
                      <a:off x="0" y="0"/>
                      <a:ext cx="4631055" cy="1887855"/>
                    </a:xfrm>
                    <a:prstGeom prst="rect">
                      <a:avLst/>
                    </a:prstGeom>
                    <a:ln/>
                  </pic:spPr>
                </pic:pic>
              </a:graphicData>
            </a:graphic>
          </wp:inline>
        </w:drawing>
      </w:r>
    </w:p>
    <w:p w14:paraId="42463F85"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86"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42463FCF" wp14:editId="42463FD0">
            <wp:extent cx="5987350" cy="3223191"/>
            <wp:effectExtent l="0" t="0" r="0" b="0"/>
            <wp:docPr id="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8"/>
                    <a:srcRect/>
                    <a:stretch>
                      <a:fillRect/>
                    </a:stretch>
                  </pic:blipFill>
                  <pic:spPr>
                    <a:xfrm>
                      <a:off x="0" y="0"/>
                      <a:ext cx="5987350" cy="3223191"/>
                    </a:xfrm>
                    <a:prstGeom prst="rect">
                      <a:avLst/>
                    </a:prstGeom>
                    <a:ln/>
                  </pic:spPr>
                </pic:pic>
              </a:graphicData>
            </a:graphic>
          </wp:inline>
        </w:drawing>
      </w:r>
    </w:p>
    <w:p w14:paraId="42463F87"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88"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Allergic and nonallergic hypersensitivity (pseudoallergic) reactions</w:t>
      </w:r>
    </w:p>
    <w:p w14:paraId="42463F89"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These classes represent pathological processes and are defined as adverse reactions and allergic conditions with a pathological process of allergic or nonallergic hypersensitivity (pseudoallergic) process.</w:t>
      </w:r>
    </w:p>
    <w:p w14:paraId="42463F8A"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Terming:</w:t>
      </w:r>
    </w:p>
    <w:p w14:paraId="42463F8B"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FSN: </w:t>
      </w:r>
    </w:p>
    <w:p w14:paraId="42463F8C" w14:textId="77777777" w:rsidR="00183ED7" w:rsidRDefault="005C5CBA">
      <w:pPr>
        <w:numPr>
          <w:ilvl w:val="0"/>
          <w:numId w:val="15"/>
        </w:numPr>
        <w:pBdr>
          <w:top w:val="nil"/>
          <w:left w:val="nil"/>
          <w:bottom w:val="nil"/>
          <w:right w:val="nil"/>
          <w:between w:val="nil"/>
        </w:pBdr>
        <w:spacing w:after="160" w:line="259" w:lineRule="auto"/>
      </w:pPr>
      <w:r>
        <w:rPr>
          <w:rFonts w:ascii="Calibri" w:eastAsia="Calibri" w:hAnsi="Calibri" w:cs="Calibri"/>
          <w:color w:val="000000"/>
          <w:sz w:val="22"/>
          <w:szCs w:val="22"/>
        </w:rPr>
        <w:t>Allergic reaction caused by X (diso</w:t>
      </w:r>
      <w:r>
        <w:rPr>
          <w:rFonts w:ascii="Calibri" w:eastAsia="Calibri" w:hAnsi="Calibri" w:cs="Calibri"/>
          <w:color w:val="000000"/>
          <w:sz w:val="22"/>
          <w:szCs w:val="22"/>
        </w:rPr>
        <w:t xml:space="preserve">rder), </w:t>
      </w:r>
    </w:p>
    <w:p w14:paraId="42463F8D" w14:textId="77777777" w:rsidR="00183ED7" w:rsidRDefault="005C5CBA">
      <w:pPr>
        <w:numPr>
          <w:ilvl w:val="0"/>
          <w:numId w:val="15"/>
        </w:numPr>
        <w:pBdr>
          <w:top w:val="nil"/>
          <w:left w:val="nil"/>
          <w:bottom w:val="nil"/>
          <w:right w:val="nil"/>
          <w:between w:val="nil"/>
        </w:pBdr>
        <w:spacing w:after="160" w:line="259" w:lineRule="auto"/>
      </w:pPr>
      <w:r>
        <w:rPr>
          <w:rFonts w:ascii="Calibri" w:eastAsia="Calibri" w:hAnsi="Calibri" w:cs="Calibri"/>
          <w:color w:val="000000"/>
          <w:sz w:val="22"/>
          <w:szCs w:val="22"/>
        </w:rPr>
        <w:t xml:space="preserve">Non-allergic hypersensitivity reaction caused by X (disorder), </w:t>
      </w:r>
    </w:p>
    <w:p w14:paraId="42463F8E" w14:textId="77777777" w:rsidR="00183ED7" w:rsidRDefault="005C5CBA">
      <w:pPr>
        <w:numPr>
          <w:ilvl w:val="0"/>
          <w:numId w:val="15"/>
        </w:numPr>
        <w:pBdr>
          <w:top w:val="nil"/>
          <w:left w:val="nil"/>
          <w:bottom w:val="nil"/>
          <w:right w:val="nil"/>
          <w:between w:val="nil"/>
        </w:pBdr>
        <w:spacing w:after="160" w:line="259" w:lineRule="auto"/>
      </w:pPr>
      <w:r>
        <w:rPr>
          <w:rFonts w:ascii="Calibri" w:eastAsia="Calibri" w:hAnsi="Calibri" w:cs="Calibri"/>
          <w:color w:val="000000"/>
          <w:sz w:val="22"/>
          <w:szCs w:val="22"/>
        </w:rPr>
        <w:t>Anaphylactic reaction caused by X (disorder)</w:t>
      </w:r>
    </w:p>
    <w:p w14:paraId="42463F8F" w14:textId="77777777" w:rsidR="00183ED7" w:rsidRDefault="005C5CBA">
      <w:pPr>
        <w:numPr>
          <w:ilvl w:val="0"/>
          <w:numId w:val="15"/>
        </w:numPr>
        <w:pBdr>
          <w:top w:val="nil"/>
          <w:left w:val="nil"/>
          <w:bottom w:val="nil"/>
          <w:right w:val="nil"/>
          <w:between w:val="nil"/>
        </w:pBdr>
        <w:spacing w:after="160" w:line="259" w:lineRule="auto"/>
      </w:pPr>
      <w:r>
        <w:rPr>
          <w:rFonts w:ascii="Calibri" w:eastAsia="Calibri" w:hAnsi="Calibri" w:cs="Calibri"/>
          <w:color w:val="000000"/>
          <w:sz w:val="22"/>
          <w:szCs w:val="22"/>
        </w:rPr>
        <w:t>Anaphylactoid reaction caused by X (disorder)</w:t>
      </w:r>
    </w:p>
    <w:p w14:paraId="42463F90"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Example: </w:t>
      </w:r>
    </w:p>
    <w:p w14:paraId="42463F91" w14:textId="77777777" w:rsidR="00183ED7" w:rsidRDefault="005C5CBA">
      <w:pPr>
        <w:numPr>
          <w:ilvl w:val="0"/>
          <w:numId w:val="3"/>
        </w:numPr>
        <w:pBdr>
          <w:top w:val="nil"/>
          <w:left w:val="nil"/>
          <w:bottom w:val="nil"/>
          <w:right w:val="nil"/>
          <w:between w:val="nil"/>
        </w:pBdr>
        <w:spacing w:after="160" w:line="259" w:lineRule="auto"/>
      </w:pPr>
      <w:r>
        <w:rPr>
          <w:rFonts w:ascii="Calibri" w:eastAsia="Calibri" w:hAnsi="Calibri" w:cs="Calibri"/>
          <w:color w:val="000000"/>
          <w:sz w:val="22"/>
          <w:szCs w:val="22"/>
        </w:rPr>
        <w:t>418809008 |Allergic reaction caused by dye (disorder)|</w:t>
      </w:r>
    </w:p>
    <w:p w14:paraId="42463F92" w14:textId="77777777" w:rsidR="00183ED7" w:rsidRDefault="005C5CBA">
      <w:pPr>
        <w:numPr>
          <w:ilvl w:val="0"/>
          <w:numId w:val="3"/>
        </w:numPr>
        <w:pBdr>
          <w:top w:val="nil"/>
          <w:left w:val="nil"/>
          <w:bottom w:val="nil"/>
          <w:right w:val="nil"/>
          <w:between w:val="nil"/>
        </w:pBdr>
        <w:spacing w:after="160" w:line="259" w:lineRule="auto"/>
      </w:pPr>
      <w:r>
        <w:rPr>
          <w:rFonts w:ascii="Calibri" w:eastAsia="Calibri" w:hAnsi="Calibri" w:cs="Calibri"/>
          <w:color w:val="000000"/>
          <w:sz w:val="22"/>
          <w:szCs w:val="22"/>
        </w:rPr>
        <w:t>418364006 |Allergic reaction caused by pollen (disorder)|</w:t>
      </w:r>
    </w:p>
    <w:p w14:paraId="42463F93"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 xml:space="preserve">Preferred Term: </w:t>
      </w:r>
    </w:p>
    <w:p w14:paraId="42463F94" w14:textId="77777777" w:rsidR="00183ED7" w:rsidRDefault="005C5CBA">
      <w:pPr>
        <w:numPr>
          <w:ilvl w:val="0"/>
          <w:numId w:val="7"/>
        </w:numPr>
        <w:pBdr>
          <w:top w:val="nil"/>
          <w:left w:val="nil"/>
          <w:bottom w:val="nil"/>
          <w:right w:val="nil"/>
          <w:between w:val="nil"/>
        </w:pBdr>
        <w:spacing w:after="160" w:line="259" w:lineRule="auto"/>
      </w:pPr>
      <w:r>
        <w:rPr>
          <w:rFonts w:ascii="Calibri" w:eastAsia="Calibri" w:hAnsi="Calibri" w:cs="Calibri"/>
          <w:color w:val="000000"/>
          <w:sz w:val="22"/>
          <w:szCs w:val="22"/>
        </w:rPr>
        <w:t>Allergic reaction caused by X</w:t>
      </w:r>
    </w:p>
    <w:p w14:paraId="42463F95" w14:textId="77777777" w:rsidR="00183ED7" w:rsidRDefault="005C5CBA">
      <w:pPr>
        <w:numPr>
          <w:ilvl w:val="0"/>
          <w:numId w:val="7"/>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reaction caused by X</w:t>
      </w:r>
    </w:p>
    <w:p w14:paraId="42463F96" w14:textId="77777777" w:rsidR="00183ED7" w:rsidRDefault="005C5CBA">
      <w:r>
        <w:t>Additional description for Non-allergic hyper</w:t>
      </w:r>
      <w:r>
        <w:t>sensitivity reaction to X</w:t>
      </w:r>
    </w:p>
    <w:p w14:paraId="42463F97" w14:textId="77777777" w:rsidR="00183ED7" w:rsidRDefault="00183ED7"/>
    <w:p w14:paraId="42463F98" w14:textId="77777777" w:rsidR="00183ED7" w:rsidRDefault="005C5CBA">
      <w:pPr>
        <w:numPr>
          <w:ilvl w:val="0"/>
          <w:numId w:val="14"/>
        </w:numPr>
        <w:pBdr>
          <w:top w:val="nil"/>
          <w:left w:val="nil"/>
          <w:bottom w:val="nil"/>
          <w:right w:val="nil"/>
          <w:between w:val="nil"/>
        </w:pBdr>
        <w:spacing w:after="160" w:line="259" w:lineRule="auto"/>
        <w:rPr>
          <w:sz w:val="22"/>
          <w:szCs w:val="22"/>
        </w:rPr>
      </w:pPr>
      <w:r>
        <w:rPr>
          <w:rFonts w:ascii="Calibri" w:eastAsia="Calibri" w:hAnsi="Calibri" w:cs="Calibri"/>
          <w:sz w:val="22"/>
          <w:szCs w:val="22"/>
        </w:rPr>
        <w:t>Pseudoallergic reaction caused by X</w:t>
      </w:r>
    </w:p>
    <w:p w14:paraId="42463F99"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w:t>
      </w:r>
    </w:p>
    <w:p w14:paraId="42463F9A" w14:textId="77777777" w:rsidR="00183ED7" w:rsidRDefault="005C5CBA">
      <w:pPr>
        <w:numPr>
          <w:ilvl w:val="0"/>
          <w:numId w:val="10"/>
        </w:numPr>
        <w:pBdr>
          <w:top w:val="nil"/>
          <w:left w:val="nil"/>
          <w:bottom w:val="nil"/>
          <w:right w:val="nil"/>
          <w:between w:val="nil"/>
        </w:pBdr>
        <w:spacing w:after="160" w:line="259" w:lineRule="auto"/>
      </w:pPr>
      <w:r>
        <w:rPr>
          <w:rFonts w:ascii="Calibri" w:eastAsia="Calibri" w:hAnsi="Calibri" w:cs="Calibri"/>
          <w:color w:val="000000"/>
          <w:sz w:val="22"/>
          <w:szCs w:val="22"/>
        </w:rPr>
        <w:lastRenderedPageBreak/>
        <w:t>Allergic reaction caused by dye</w:t>
      </w:r>
    </w:p>
    <w:p w14:paraId="42463F9B" w14:textId="77777777" w:rsidR="00183ED7" w:rsidRDefault="005C5CBA">
      <w:pPr>
        <w:numPr>
          <w:ilvl w:val="0"/>
          <w:numId w:val="10"/>
        </w:numPr>
        <w:pBdr>
          <w:top w:val="nil"/>
          <w:left w:val="nil"/>
          <w:bottom w:val="nil"/>
          <w:right w:val="nil"/>
          <w:between w:val="nil"/>
        </w:pBdr>
        <w:spacing w:after="160" w:line="259" w:lineRule="auto"/>
      </w:pPr>
      <w:r>
        <w:rPr>
          <w:rFonts w:ascii="Calibri" w:eastAsia="Calibri" w:hAnsi="Calibri" w:cs="Calibri"/>
          <w:color w:val="000000"/>
          <w:sz w:val="22"/>
          <w:szCs w:val="22"/>
        </w:rPr>
        <w:t>Allergic reaction caused by pollen</w:t>
      </w:r>
    </w:p>
    <w:p w14:paraId="42463F9C" w14:textId="77777777" w:rsidR="00183ED7" w:rsidRDefault="005C5CBA">
      <w:pPr>
        <w:numPr>
          <w:ilvl w:val="0"/>
          <w:numId w:val="10"/>
        </w:numPr>
        <w:pBdr>
          <w:top w:val="nil"/>
          <w:left w:val="nil"/>
          <w:bottom w:val="nil"/>
          <w:right w:val="nil"/>
          <w:between w:val="nil"/>
        </w:pBdr>
        <w:spacing w:after="160" w:line="259" w:lineRule="auto"/>
      </w:pPr>
      <w:r>
        <w:rPr>
          <w:rFonts w:ascii="Calibri" w:eastAsia="Calibri" w:hAnsi="Calibri" w:cs="Calibri"/>
          <w:color w:val="000000"/>
          <w:sz w:val="22"/>
          <w:szCs w:val="22"/>
        </w:rPr>
        <w:t>Non-allergic hypersensitivity reaction caused by sulfite</w:t>
      </w:r>
    </w:p>
    <w:p w14:paraId="42463F9D"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For naming conventions for causative drug allergens see section on Allergic and nonallergic hypersensitivity (pseudoallergic) dispositions</w:t>
      </w:r>
    </w:p>
    <w:p w14:paraId="42463F9E"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Model:</w:t>
      </w:r>
    </w:p>
    <w:p w14:paraId="42463F9F"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1" wp14:editId="42463FD2">
            <wp:extent cx="3508329" cy="1456127"/>
            <wp:effectExtent l="0" t="0" r="0" b="0"/>
            <wp:docPr id="1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
                    <a:srcRect/>
                    <a:stretch>
                      <a:fillRect/>
                    </a:stretch>
                  </pic:blipFill>
                  <pic:spPr>
                    <a:xfrm>
                      <a:off x="0" y="0"/>
                      <a:ext cx="3508329" cy="1456127"/>
                    </a:xfrm>
                    <a:prstGeom prst="rect">
                      <a:avLst/>
                    </a:prstGeom>
                    <a:ln/>
                  </pic:spPr>
                </pic:pic>
              </a:graphicData>
            </a:graphic>
          </wp:inline>
        </w:drawing>
      </w:r>
    </w:p>
    <w:p w14:paraId="42463FA0"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w:t>
      </w:r>
    </w:p>
    <w:p w14:paraId="42463FA1"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3" wp14:editId="42463FD4">
            <wp:extent cx="6858000" cy="2323465"/>
            <wp:effectExtent l="0" t="0" r="0" b="0"/>
            <wp:docPr id="1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0"/>
                    <a:srcRect/>
                    <a:stretch>
                      <a:fillRect/>
                    </a:stretch>
                  </pic:blipFill>
                  <pic:spPr>
                    <a:xfrm>
                      <a:off x="0" y="0"/>
                      <a:ext cx="6858000" cy="2323465"/>
                    </a:xfrm>
                    <a:prstGeom prst="rect">
                      <a:avLst/>
                    </a:prstGeom>
                    <a:ln/>
                  </pic:spPr>
                </pic:pic>
              </a:graphicData>
            </a:graphic>
          </wp:inline>
        </w:drawing>
      </w:r>
    </w:p>
    <w:p w14:paraId="42463FA2"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5" wp14:editId="42463FD6">
            <wp:extent cx="6858000" cy="1449706"/>
            <wp:effectExtent l="0" t="0" r="0" b="0"/>
            <wp:docPr id="1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1"/>
                    <a:srcRect/>
                    <a:stretch>
                      <a:fillRect/>
                    </a:stretch>
                  </pic:blipFill>
                  <pic:spPr>
                    <a:xfrm>
                      <a:off x="0" y="0"/>
                      <a:ext cx="6858000" cy="1449706"/>
                    </a:xfrm>
                    <a:prstGeom prst="rect">
                      <a:avLst/>
                    </a:prstGeom>
                    <a:ln/>
                  </pic:spPr>
                </pic:pic>
              </a:graphicData>
            </a:graphic>
          </wp:inline>
        </w:drawing>
      </w:r>
    </w:p>
    <w:p w14:paraId="42463FA3"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4"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Contact hypersensitivity</w:t>
      </w:r>
    </w:p>
    <w:p w14:paraId="42463FA5"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Contact hypersensitivity represents a hypersensitivity response elicited by contact of the skin or mucous membranes with a substance. The response may be immune mediated (allergic) or nonimmune (irritant). Allergic responses may be immunoglobulin E mediate</w:t>
      </w:r>
      <w:r>
        <w:rPr>
          <w:rFonts w:ascii="Calibri" w:eastAsia="Calibri" w:hAnsi="Calibri" w:cs="Calibri"/>
          <w:color w:val="000000"/>
          <w:sz w:val="22"/>
          <w:szCs w:val="22"/>
        </w:rPr>
        <w:t xml:space="preserve">d as in allergic contact urticaria or nonimmunoglobulin E mediated as in allergic contact </w:t>
      </w:r>
      <w:r>
        <w:rPr>
          <w:rFonts w:ascii="Calibri" w:eastAsia="Calibri" w:hAnsi="Calibri" w:cs="Calibri"/>
          <w:color w:val="000000"/>
          <w:sz w:val="22"/>
          <w:szCs w:val="22"/>
        </w:rPr>
        <w:lastRenderedPageBreak/>
        <w:t>dermatitis. Contact hypersensitivity concepts are model as hypersensitivity disorders using the pathological processes illustrated below:</w:t>
      </w:r>
    </w:p>
    <w:p w14:paraId="42463FA6"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7" wp14:editId="42463FD8">
            <wp:extent cx="4152382" cy="1219048"/>
            <wp:effectExtent l="0" t="0" r="0" b="0"/>
            <wp:docPr id="1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2"/>
                    <a:srcRect/>
                    <a:stretch>
                      <a:fillRect/>
                    </a:stretch>
                  </pic:blipFill>
                  <pic:spPr>
                    <a:xfrm>
                      <a:off x="0" y="0"/>
                      <a:ext cx="4152382" cy="1219048"/>
                    </a:xfrm>
                    <a:prstGeom prst="rect">
                      <a:avLst/>
                    </a:prstGeom>
                    <a:ln/>
                  </pic:spPr>
                </pic:pic>
              </a:graphicData>
            </a:graphic>
          </wp:inline>
        </w:drawing>
      </w:r>
    </w:p>
    <w:p w14:paraId="42463FA7"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8"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9"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A"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B"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AC"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Examples</w:t>
      </w:r>
    </w:p>
    <w:p w14:paraId="42463FAD"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noProof/>
          <w:color w:val="000000"/>
          <w:sz w:val="22"/>
          <w:szCs w:val="22"/>
        </w:rPr>
        <w:drawing>
          <wp:inline distT="0" distB="0" distL="0" distR="0" wp14:anchorId="42463FD9" wp14:editId="42463FDA">
            <wp:extent cx="6858000" cy="1355725"/>
            <wp:effectExtent l="0" t="0" r="0" b="0"/>
            <wp:docPr id="1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3"/>
                    <a:srcRect/>
                    <a:stretch>
                      <a:fillRect/>
                    </a:stretch>
                  </pic:blipFill>
                  <pic:spPr>
                    <a:xfrm>
                      <a:off x="0" y="0"/>
                      <a:ext cx="6858000" cy="1355725"/>
                    </a:xfrm>
                    <a:prstGeom prst="rect">
                      <a:avLst/>
                    </a:prstGeom>
                    <a:ln/>
                  </pic:spPr>
                </pic:pic>
              </a:graphicData>
            </a:graphic>
          </wp:inline>
        </w:drawing>
      </w:r>
    </w:p>
    <w:p w14:paraId="42463FAE"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AF"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B0"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B" wp14:editId="42463FDC">
            <wp:extent cx="6858000" cy="1275081"/>
            <wp:effectExtent l="0" t="0" r="0" b="0"/>
            <wp:docPr id="1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4"/>
                    <a:srcRect/>
                    <a:stretch>
                      <a:fillRect/>
                    </a:stretch>
                  </pic:blipFill>
                  <pic:spPr>
                    <a:xfrm>
                      <a:off x="0" y="0"/>
                      <a:ext cx="6858000" cy="1275081"/>
                    </a:xfrm>
                    <a:prstGeom prst="rect">
                      <a:avLst/>
                    </a:prstGeom>
                    <a:ln/>
                  </pic:spPr>
                </pic:pic>
              </a:graphicData>
            </a:graphic>
          </wp:inline>
        </w:drawing>
      </w:r>
    </w:p>
    <w:p w14:paraId="42463FB1"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B2"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42463FDD" wp14:editId="42463FDE">
            <wp:extent cx="6858000" cy="2836546"/>
            <wp:effectExtent l="0" t="0" r="0" b="0"/>
            <wp:docPr id="1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5"/>
                    <a:srcRect/>
                    <a:stretch>
                      <a:fillRect/>
                    </a:stretch>
                  </pic:blipFill>
                  <pic:spPr>
                    <a:xfrm>
                      <a:off x="0" y="0"/>
                      <a:ext cx="6858000" cy="2836546"/>
                    </a:xfrm>
                    <a:prstGeom prst="rect">
                      <a:avLst/>
                    </a:prstGeom>
                    <a:ln/>
                  </pic:spPr>
                </pic:pic>
              </a:graphicData>
            </a:graphic>
          </wp:inline>
        </w:drawing>
      </w:r>
    </w:p>
    <w:p w14:paraId="42463FB3" w14:textId="77777777" w:rsidR="00183ED7" w:rsidRDefault="00183ED7">
      <w:pPr>
        <w:pBdr>
          <w:top w:val="nil"/>
          <w:left w:val="nil"/>
          <w:bottom w:val="nil"/>
          <w:right w:val="nil"/>
          <w:between w:val="nil"/>
        </w:pBdr>
        <w:spacing w:after="160" w:line="259" w:lineRule="auto"/>
        <w:rPr>
          <w:rFonts w:ascii="Calibri" w:eastAsia="Calibri" w:hAnsi="Calibri" w:cs="Calibri"/>
          <w:color w:val="000000"/>
          <w:sz w:val="22"/>
          <w:szCs w:val="22"/>
        </w:rPr>
      </w:pPr>
    </w:p>
    <w:p w14:paraId="42463FB4"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DF" wp14:editId="42463FE0">
            <wp:extent cx="6858000" cy="1136650"/>
            <wp:effectExtent l="0" t="0" r="0" b="0"/>
            <wp:docPr id="1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6"/>
                    <a:srcRect/>
                    <a:stretch>
                      <a:fillRect/>
                    </a:stretch>
                  </pic:blipFill>
                  <pic:spPr>
                    <a:xfrm>
                      <a:off x="0" y="0"/>
                      <a:ext cx="6858000" cy="1136650"/>
                    </a:xfrm>
                    <a:prstGeom prst="rect">
                      <a:avLst/>
                    </a:prstGeom>
                    <a:ln/>
                  </pic:spPr>
                </pic:pic>
              </a:graphicData>
            </a:graphic>
          </wp:inline>
        </w:drawing>
      </w:r>
    </w:p>
    <w:p w14:paraId="42463FB5" w14:textId="77777777" w:rsidR="00183ED7" w:rsidRDefault="00183ED7">
      <w:pPr>
        <w:pBdr>
          <w:top w:val="nil"/>
          <w:left w:val="nil"/>
          <w:bottom w:val="nil"/>
          <w:right w:val="nil"/>
          <w:between w:val="nil"/>
        </w:pBdr>
        <w:spacing w:after="160" w:line="259" w:lineRule="auto"/>
        <w:rPr>
          <w:rFonts w:ascii="Calibri" w:eastAsia="Calibri" w:hAnsi="Calibri" w:cs="Calibri"/>
          <w:b/>
          <w:color w:val="000000"/>
          <w:sz w:val="22"/>
          <w:szCs w:val="22"/>
        </w:rPr>
      </w:pPr>
    </w:p>
    <w:p w14:paraId="42463FB6" w14:textId="77777777" w:rsidR="00183ED7" w:rsidRDefault="005C5CBA">
      <w:pPr>
        <w:pBdr>
          <w:top w:val="nil"/>
          <w:left w:val="nil"/>
          <w:bottom w:val="nil"/>
          <w:right w:val="nil"/>
          <w:between w:val="nil"/>
        </w:pBdr>
        <w:spacing w:after="160" w:line="259" w:lineRule="auto"/>
        <w:rPr>
          <w:rFonts w:ascii="Calibri" w:eastAsia="Calibri" w:hAnsi="Calibri" w:cs="Calibri"/>
          <w:b/>
          <w:color w:val="000000"/>
          <w:sz w:val="22"/>
          <w:szCs w:val="22"/>
        </w:rPr>
      </w:pPr>
      <w:r>
        <w:rPr>
          <w:rFonts w:ascii="Calibri" w:eastAsia="Calibri" w:hAnsi="Calibri" w:cs="Calibri"/>
          <w:b/>
          <w:color w:val="000000"/>
          <w:sz w:val="22"/>
          <w:szCs w:val="22"/>
        </w:rPr>
        <w:t>Intolerance to substance</w:t>
      </w:r>
    </w:p>
    <w:p w14:paraId="42463FB7"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An intolerance in this context is the propensity to develop an adverse reaction to a substance. The nature of the adverse reaction can represent a variety of pathological processes but specifically excludes hypersensitivity (aller</w:t>
      </w:r>
      <w:r>
        <w:rPr>
          <w:rFonts w:ascii="Calibri" w:eastAsia="Calibri" w:hAnsi="Calibri" w:cs="Calibri"/>
          <w:color w:val="000000"/>
          <w:sz w:val="22"/>
          <w:szCs w:val="22"/>
        </w:rPr>
        <w:t>gic and nonallergic hypersensitivity (pseudoallergic)) reactions</w:t>
      </w:r>
      <w:r>
        <w:rPr>
          <w:rFonts w:ascii="Calibri" w:eastAsia="Calibri" w:hAnsi="Calibri" w:cs="Calibri"/>
          <w:color w:val="000000"/>
          <w:sz w:val="22"/>
          <w:szCs w:val="22"/>
          <w:vertAlign w:val="superscript"/>
        </w:rPr>
        <w:footnoteReference w:id="4"/>
      </w:r>
      <w:r>
        <w:rPr>
          <w:rFonts w:ascii="Calibri" w:eastAsia="Calibri" w:hAnsi="Calibri" w:cs="Calibri"/>
          <w:color w:val="000000"/>
          <w:sz w:val="22"/>
          <w:szCs w:val="22"/>
        </w:rPr>
        <w:t>. Due to the difficulty in precisely defining an intolerance pathological process, it becomes problematic to apply the model for hypersensitivity dispositions to defining intolerance to subst</w:t>
      </w:r>
      <w:r>
        <w:rPr>
          <w:rFonts w:ascii="Calibri" w:eastAsia="Calibri" w:hAnsi="Calibri" w:cs="Calibri"/>
          <w:color w:val="000000"/>
          <w:sz w:val="22"/>
          <w:szCs w:val="22"/>
        </w:rPr>
        <w:t>ance. For this reason, as well as the difficulty in associating a material agent with a disposition, substances are related to the intolerance disposition by use of the associated with attribute. The parent concept, Intolerance to substance (finding) is pr</w:t>
      </w:r>
      <w:r>
        <w:rPr>
          <w:rFonts w:ascii="Calibri" w:eastAsia="Calibri" w:hAnsi="Calibri" w:cs="Calibri"/>
          <w:color w:val="000000"/>
          <w:sz w:val="22"/>
          <w:szCs w:val="22"/>
        </w:rPr>
        <w:t>imitive but can be used as a parent to fully define Intolerance to specific substances.</w:t>
      </w:r>
    </w:p>
    <w:p w14:paraId="42463FB8"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Terming:</w:t>
      </w:r>
    </w:p>
    <w:p w14:paraId="42463FB9"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FSN: Intolerance to X (finding)</w:t>
      </w:r>
    </w:p>
    <w:p w14:paraId="42463FBA"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Preferred Term: Intolerance to X</w:t>
      </w:r>
    </w:p>
    <w:p w14:paraId="42463FBB"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Model:</w:t>
      </w:r>
    </w:p>
    <w:p w14:paraId="42463FBC"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42463FE1" wp14:editId="42463FE2">
            <wp:extent cx="4504608" cy="1670724"/>
            <wp:effectExtent l="0" t="0" r="0" b="0"/>
            <wp:docPr id="1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7"/>
                    <a:srcRect/>
                    <a:stretch>
                      <a:fillRect/>
                    </a:stretch>
                  </pic:blipFill>
                  <pic:spPr>
                    <a:xfrm>
                      <a:off x="0" y="0"/>
                      <a:ext cx="4504608" cy="1670724"/>
                    </a:xfrm>
                    <a:prstGeom prst="rect">
                      <a:avLst/>
                    </a:prstGeom>
                    <a:ln/>
                  </pic:spPr>
                </pic:pic>
              </a:graphicData>
            </a:graphic>
          </wp:inline>
        </w:drawing>
      </w:r>
    </w:p>
    <w:p w14:paraId="42463FBD"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color w:val="000000"/>
          <w:sz w:val="22"/>
          <w:szCs w:val="22"/>
        </w:rPr>
        <w:t>Examples:</w:t>
      </w:r>
    </w:p>
    <w:p w14:paraId="42463FBE" w14:textId="77777777" w:rsidR="00183ED7" w:rsidRDefault="005C5CBA">
      <w:pPr>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noProof/>
          <w:color w:val="000000"/>
          <w:sz w:val="22"/>
          <w:szCs w:val="22"/>
        </w:rPr>
        <w:drawing>
          <wp:inline distT="0" distB="0" distL="0" distR="0" wp14:anchorId="42463FE3" wp14:editId="42463FE4">
            <wp:extent cx="6858000" cy="3080385"/>
            <wp:effectExtent l="0" t="0" r="0" b="0"/>
            <wp:docPr id="1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8"/>
                    <a:srcRect/>
                    <a:stretch>
                      <a:fillRect/>
                    </a:stretch>
                  </pic:blipFill>
                  <pic:spPr>
                    <a:xfrm>
                      <a:off x="0" y="0"/>
                      <a:ext cx="6858000" cy="3080385"/>
                    </a:xfrm>
                    <a:prstGeom prst="rect">
                      <a:avLst/>
                    </a:prstGeom>
                    <a:ln/>
                  </pic:spPr>
                </pic:pic>
              </a:graphicData>
            </a:graphic>
          </wp:inline>
        </w:drawing>
      </w:r>
    </w:p>
    <w:sectPr w:rsidR="00183ED7">
      <w:headerReference w:type="even" r:id="rId29"/>
      <w:headerReference w:type="default" r:id="rId30"/>
      <w:footerReference w:type="even" r:id="rId31"/>
      <w:footerReference w:type="default" r:id="rId32"/>
      <w:headerReference w:type="first" r:id="rId33"/>
      <w:footerReference w:type="first" r:id="rId34"/>
      <w:pgSz w:w="12240" w:h="15840"/>
      <w:pgMar w:top="720" w:right="720" w:bottom="720" w:left="72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Jim Case" w:date="2018-08-17T16:30:00Z" w:initials="">
    <w:p w14:paraId="42463FE5"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I assume you are talking about what it will look like after the proposed changes, because right now it is still a disorder.</w:t>
      </w:r>
    </w:p>
  </w:comment>
  <w:comment w:id="2" w:author="Bruce Goldberg" w:date="2018-08-20T21:28:00Z" w:initials="">
    <w:p w14:paraId="42463FE6"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As these are editorial guidelines that will pertain to the new model I am just describing the proposed changes</w:t>
      </w:r>
    </w:p>
  </w:comment>
  <w:comment w:id="3" w:author="Jim Case" w:date="2018-08-20T21:55:00Z" w:initials="">
    <w:p w14:paraId="42463FE7"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I think you should ma</w:t>
      </w:r>
      <w:r>
        <w:rPr>
          <w:rFonts w:ascii="Arial" w:eastAsia="Arial" w:hAnsi="Arial" w:cs="Arial"/>
          <w:color w:val="000000"/>
          <w:sz w:val="22"/>
          <w:szCs w:val="22"/>
        </w:rPr>
        <w:t>ke a note that the figures refer to the current</w:t>
      </w:r>
    </w:p>
    <w:p w14:paraId="42463FE8"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state...I was a bit confused (but that is getting easier every day)</w:t>
      </w:r>
    </w:p>
  </w:comment>
  <w:comment w:id="4" w:author="Bruce Goldberg" w:date="2018-08-21T16:40:00Z" w:initials="">
    <w:p w14:paraId="42463FE9"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Jim, I am not understanding. The figures for the conditions and the dispositions appear to represent findings to me. Am I missing something?</w:t>
      </w:r>
    </w:p>
  </w:comment>
  <w:comment w:id="5" w:author="Jim Case" w:date="2018-08-22T13:21:00Z" w:initials="">
    <w:p w14:paraId="42463FEA"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Sorry, I was looking at the state in the browser.  The figures look OK.</w:t>
      </w:r>
    </w:p>
  </w:comment>
  <w:comment w:id="6" w:author="Jim Case" w:date="2018-08-17T16:34:00Z" w:initials="">
    <w:p w14:paraId="42463FEB"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It is unclear why you need to use GCIs here.  Is it to differentiate between disorders and dispositions?  In that case would you not want one of the GCIs to have an IS A of Disease in</w:t>
      </w:r>
      <w:r>
        <w:rPr>
          <w:rFonts w:ascii="Arial" w:eastAsia="Arial" w:hAnsi="Arial" w:cs="Arial"/>
          <w:color w:val="000000"/>
          <w:sz w:val="22"/>
          <w:szCs w:val="22"/>
        </w:rPr>
        <w:t>stead of Clinical finding?</w:t>
      </w:r>
    </w:p>
  </w:comment>
  <w:comment w:id="7" w:author="Bruce Goldberg" w:date="2018-08-20T22:06:00Z" w:initials="">
    <w:p w14:paraId="42463FEC" w14:textId="77777777" w:rsidR="00183ED7" w:rsidRDefault="005C5CBA">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GCIs will differentiate allergic disorders (S), dispositions (D) and reactions (P). GCIs changed to include isA Disease rather than Clinical finding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463FE5" w15:done="0"/>
  <w15:commentEx w15:paraId="42463FE6" w15:done="0"/>
  <w15:commentEx w15:paraId="42463FE8" w15:done="0"/>
  <w15:commentEx w15:paraId="42463FE9" w15:done="0"/>
  <w15:commentEx w15:paraId="42463FEA" w15:done="0"/>
  <w15:commentEx w15:paraId="42463FEB" w15:done="0"/>
  <w15:commentEx w15:paraId="42463FE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463FE5" w16cid:durableId="1F2E4505"/>
  <w16cid:commentId w16cid:paraId="42463FE6" w16cid:durableId="1F2E4506"/>
  <w16cid:commentId w16cid:paraId="42463FE8" w16cid:durableId="1F2E4507"/>
  <w16cid:commentId w16cid:paraId="42463FE9" w16cid:durableId="1F2E4508"/>
  <w16cid:commentId w16cid:paraId="42463FEA" w16cid:durableId="1F2E4509"/>
  <w16cid:commentId w16cid:paraId="42463FEB" w16cid:durableId="1F2E450A"/>
  <w16cid:commentId w16cid:paraId="42463FEC" w16cid:durableId="1F2E450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104A28" w14:textId="77777777" w:rsidR="005C5CBA" w:rsidRDefault="005C5CBA">
      <w:r>
        <w:separator/>
      </w:r>
    </w:p>
  </w:endnote>
  <w:endnote w:type="continuationSeparator" w:id="0">
    <w:p w14:paraId="69046B7E" w14:textId="77777777" w:rsidR="005C5CBA" w:rsidRDefault="005C5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panose1 w:val="020B0604020202020204"/>
    <w:charset w:val="00"/>
    <w:family w:val="auto"/>
    <w:pitch w:val="default"/>
  </w:font>
  <w:font w:name="Arimo">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EF" w14:textId="77777777" w:rsidR="00183ED7" w:rsidRDefault="00183ED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F0" w14:textId="77777777" w:rsidR="00183ED7" w:rsidRDefault="00183ED7">
    <w:pPr>
      <w:pBdr>
        <w:top w:val="nil"/>
        <w:left w:val="nil"/>
        <w:bottom w:val="nil"/>
        <w:right w:val="nil"/>
        <w:between w:val="nil"/>
      </w:pBdr>
      <w:tabs>
        <w:tab w:val="right" w:pos="9020"/>
      </w:tabs>
      <w:rPr>
        <w:rFonts w:ascii="Helvetica Neue" w:eastAsia="Helvetica Neue" w:hAnsi="Helvetica Neue" w:cs="Helvetica Neue"/>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F2" w14:textId="77777777" w:rsidR="00183ED7" w:rsidRDefault="00183ED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967DEF" w14:textId="77777777" w:rsidR="005C5CBA" w:rsidRDefault="005C5CBA">
      <w:r>
        <w:separator/>
      </w:r>
    </w:p>
  </w:footnote>
  <w:footnote w:type="continuationSeparator" w:id="0">
    <w:p w14:paraId="5AFAF20F" w14:textId="77777777" w:rsidR="005C5CBA" w:rsidRDefault="005C5CBA">
      <w:r>
        <w:continuationSeparator/>
      </w:r>
    </w:p>
  </w:footnote>
  <w:footnote w:id="1">
    <w:p w14:paraId="42463FF3" w14:textId="77777777" w:rsidR="00183ED7" w:rsidRDefault="005C5CBA">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color w:val="000000"/>
          <w:sz w:val="14"/>
          <w:szCs w:val="14"/>
        </w:rPr>
        <w:t>Scalable representations of diseases in biomedical ontologies Stefan Schulz, Kent Spackman, Andrew James,</w:t>
      </w:r>
      <w:r>
        <w:rPr>
          <w:rFonts w:ascii="Calibri" w:eastAsia="Calibri" w:hAnsi="Calibri" w:cs="Calibri"/>
          <w:color w:val="000000"/>
          <w:sz w:val="14"/>
          <w:szCs w:val="14"/>
        </w:rPr>
        <w:t xml:space="preserve"> Cristian Cocos and Martin Boeker Journal of Biomedical Semantics20112(Suppl 2):S6 DOI: 10.1186/2041-1480-2-S2-S6</w:t>
      </w:r>
    </w:p>
  </w:footnote>
  <w:footnote w:id="2">
    <w:p w14:paraId="42463FF4" w14:textId="77777777" w:rsidR="00183ED7" w:rsidRDefault="005C5CBA">
      <w:pPr>
        <w:pBdr>
          <w:top w:val="nil"/>
          <w:left w:val="nil"/>
          <w:bottom w:val="nil"/>
          <w:right w:val="nil"/>
          <w:between w:val="nil"/>
        </w:pBdr>
        <w:rPr>
          <w:rFonts w:ascii="Calibri" w:eastAsia="Calibri" w:hAnsi="Calibri" w:cs="Calibri"/>
          <w:color w:val="000000"/>
          <w:sz w:val="14"/>
          <w:szCs w:val="14"/>
        </w:rPr>
      </w:pPr>
      <w:r>
        <w:rPr>
          <w:vertAlign w:val="superscript"/>
        </w:rPr>
        <w:footnoteRef/>
      </w:r>
      <w:r>
        <w:rPr>
          <w:rFonts w:ascii="Calibri" w:eastAsia="Calibri" w:hAnsi="Calibri" w:cs="Calibri"/>
          <w:color w:val="000000"/>
          <w:sz w:val="14"/>
          <w:szCs w:val="14"/>
        </w:rPr>
        <w:t xml:space="preserve"> Johansson SGO, O’B Hourihane J, Bousquet J, Bruijnzeel-Koomen C, Dreborg S, Haahtela T, Kowalski ML, Mygind N, Ring J, van Cauwenberge P, va</w:t>
      </w:r>
      <w:r>
        <w:rPr>
          <w:rFonts w:ascii="Calibri" w:eastAsia="Calibri" w:hAnsi="Calibri" w:cs="Calibri"/>
          <w:color w:val="000000"/>
          <w:sz w:val="14"/>
          <w:szCs w:val="14"/>
        </w:rPr>
        <w:t>n Hage-Hamsten M, Wüthrich B. A</w:t>
      </w:r>
    </w:p>
    <w:p w14:paraId="42463FF5" w14:textId="77777777" w:rsidR="00183ED7" w:rsidRDefault="005C5CBA">
      <w:pPr>
        <w:pBdr>
          <w:top w:val="nil"/>
          <w:left w:val="nil"/>
          <w:bottom w:val="nil"/>
          <w:right w:val="nil"/>
          <w:between w:val="nil"/>
        </w:pBdr>
        <w:rPr>
          <w:rFonts w:ascii="Calibri" w:eastAsia="Calibri" w:hAnsi="Calibri" w:cs="Calibri"/>
          <w:color w:val="000000"/>
          <w:sz w:val="14"/>
          <w:szCs w:val="14"/>
        </w:rPr>
      </w:pPr>
      <w:r>
        <w:rPr>
          <w:rFonts w:ascii="Calibri" w:eastAsia="Calibri" w:hAnsi="Calibri" w:cs="Calibri"/>
          <w:color w:val="000000"/>
          <w:sz w:val="14"/>
          <w:szCs w:val="14"/>
        </w:rPr>
        <w:t>revised nomenclature for allergy. An EAACI position statement from the EAACI nomenclature task force. Allergy 2001; 56:813-824.</w:t>
      </w:r>
    </w:p>
    <w:p w14:paraId="42463FF6" w14:textId="77777777" w:rsidR="00183ED7" w:rsidRDefault="00183ED7">
      <w:pPr>
        <w:pBdr>
          <w:top w:val="nil"/>
          <w:left w:val="nil"/>
          <w:bottom w:val="nil"/>
          <w:right w:val="nil"/>
          <w:between w:val="nil"/>
        </w:pBdr>
        <w:rPr>
          <w:rFonts w:ascii="Calibri" w:eastAsia="Calibri" w:hAnsi="Calibri" w:cs="Calibri"/>
          <w:color w:val="000000"/>
          <w:sz w:val="20"/>
          <w:szCs w:val="20"/>
        </w:rPr>
      </w:pPr>
    </w:p>
  </w:footnote>
  <w:footnote w:id="3">
    <w:p w14:paraId="42463FF7" w14:textId="77777777" w:rsidR="00183ED7" w:rsidRDefault="005C5CBA">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14"/>
          <w:szCs w:val="14"/>
        </w:rPr>
        <w:t xml:space="preserve"> Johansson SGO, Bieber T, Dahl R, Friedmann PS, Lanier BQ, Lockey RF, Motala C, Ortega Martell</w:t>
      </w:r>
      <w:r>
        <w:rPr>
          <w:rFonts w:ascii="Calibri" w:eastAsia="Calibri" w:hAnsi="Calibri" w:cs="Calibri"/>
          <w:color w:val="000000"/>
          <w:sz w:val="14"/>
          <w:szCs w:val="14"/>
        </w:rPr>
        <w:t xml:space="preserve"> JA, Platts-Mills TAE, Ring J, Thien F, Van Cauwenberge P, Williams HC. Revised nomenclature for allergy for global use: Report of the Nomenclature Review Committee of the World Allergy Organization, October 2003. J Allergy Clin Immunol 2004; 113: 832-836.</w:t>
      </w:r>
    </w:p>
  </w:footnote>
  <w:footnote w:id="4">
    <w:p w14:paraId="42463FF8" w14:textId="77777777" w:rsidR="00183ED7" w:rsidRDefault="005C5CBA">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FHIR Release 3 (STU)</w:t>
      </w:r>
      <w:r>
        <w:rPr>
          <w:rFonts w:ascii="Arimo" w:eastAsia="Arimo" w:hAnsi="Arimo" w:cs="Arimo"/>
          <w:color w:val="000000"/>
          <w:sz w:val="20"/>
          <w:szCs w:val="20"/>
        </w:rPr>
        <w:b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ED" w14:textId="77777777" w:rsidR="00183ED7" w:rsidRDefault="00183ED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EE" w14:textId="77777777" w:rsidR="00183ED7" w:rsidRDefault="00183ED7">
    <w:pPr>
      <w:pBdr>
        <w:top w:val="nil"/>
        <w:left w:val="nil"/>
        <w:bottom w:val="nil"/>
        <w:right w:val="nil"/>
        <w:between w:val="nil"/>
      </w:pBdr>
      <w:tabs>
        <w:tab w:val="right" w:pos="9020"/>
      </w:tabs>
      <w:rPr>
        <w:rFonts w:ascii="Helvetica Neue" w:eastAsia="Helvetica Neue" w:hAnsi="Helvetica Neue" w:cs="Helvetica Neue"/>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63FF1" w14:textId="77777777" w:rsidR="00183ED7" w:rsidRDefault="00183ED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5F211D"/>
    <w:multiLevelType w:val="multilevel"/>
    <w:tmpl w:val="29DC479C"/>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z w:val="20"/>
        <w:szCs w:val="20"/>
        <w:shd w:val="clear" w:color="auto" w:fill="auto"/>
        <w:vertAlign w:val="baseline"/>
      </w:rPr>
    </w:lvl>
    <w:lvl w:ilvl="4">
      <w:start w:val="1"/>
      <w:numFmt w:val="bullet"/>
      <w:lvlText w:val="▪"/>
      <w:lvlJc w:val="left"/>
      <w:pPr>
        <w:ind w:left="3600" w:hanging="360"/>
      </w:pPr>
      <w:rPr>
        <w:rFonts w:ascii="Arimo" w:eastAsia="Arimo" w:hAnsi="Arimo" w:cs="Arimo"/>
        <w:b w:val="0"/>
        <w:i w:val="0"/>
        <w:smallCaps w:val="0"/>
        <w:strike w:val="0"/>
        <w:color w:val="000000"/>
        <w:sz w:val="20"/>
        <w:szCs w:val="2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z w:val="20"/>
        <w:szCs w:val="20"/>
        <w:shd w:val="clear" w:color="auto" w:fill="auto"/>
        <w:vertAlign w:val="baseline"/>
      </w:rPr>
    </w:lvl>
    <w:lvl w:ilvl="7">
      <w:start w:val="1"/>
      <w:numFmt w:val="bullet"/>
      <w:lvlText w:val="▪"/>
      <w:lvlJc w:val="left"/>
      <w:pPr>
        <w:ind w:left="5760" w:hanging="360"/>
      </w:pPr>
      <w:rPr>
        <w:rFonts w:ascii="Arimo" w:eastAsia="Arimo" w:hAnsi="Arimo" w:cs="Arimo"/>
        <w:b w:val="0"/>
        <w:i w:val="0"/>
        <w:smallCaps w:val="0"/>
        <w:strike w:val="0"/>
        <w:color w:val="000000"/>
        <w:sz w:val="20"/>
        <w:szCs w:val="2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shd w:val="clear" w:color="auto" w:fill="auto"/>
        <w:vertAlign w:val="baseline"/>
      </w:rPr>
    </w:lvl>
  </w:abstractNum>
  <w:abstractNum w:abstractNumId="1" w15:restartNumberingAfterBreak="0">
    <w:nsid w:val="0F2244C6"/>
    <w:multiLevelType w:val="multilevel"/>
    <w:tmpl w:val="450677BE"/>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6FF73C7"/>
    <w:multiLevelType w:val="multilevel"/>
    <w:tmpl w:val="B2A26870"/>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z w:val="20"/>
        <w:szCs w:val="20"/>
        <w:shd w:val="clear" w:color="auto" w:fill="auto"/>
        <w:vertAlign w:val="baseline"/>
      </w:rPr>
    </w:lvl>
    <w:lvl w:ilvl="4">
      <w:start w:val="1"/>
      <w:numFmt w:val="bullet"/>
      <w:lvlText w:val="▪"/>
      <w:lvlJc w:val="left"/>
      <w:pPr>
        <w:ind w:left="3600" w:hanging="360"/>
      </w:pPr>
      <w:rPr>
        <w:rFonts w:ascii="Arimo" w:eastAsia="Arimo" w:hAnsi="Arimo" w:cs="Arimo"/>
        <w:b w:val="0"/>
        <w:i w:val="0"/>
        <w:smallCaps w:val="0"/>
        <w:strike w:val="0"/>
        <w:color w:val="000000"/>
        <w:sz w:val="20"/>
        <w:szCs w:val="2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z w:val="20"/>
        <w:szCs w:val="20"/>
        <w:shd w:val="clear" w:color="auto" w:fill="auto"/>
        <w:vertAlign w:val="baseline"/>
      </w:rPr>
    </w:lvl>
    <w:lvl w:ilvl="7">
      <w:start w:val="1"/>
      <w:numFmt w:val="bullet"/>
      <w:lvlText w:val="▪"/>
      <w:lvlJc w:val="left"/>
      <w:pPr>
        <w:ind w:left="5760" w:hanging="360"/>
      </w:pPr>
      <w:rPr>
        <w:rFonts w:ascii="Arimo" w:eastAsia="Arimo" w:hAnsi="Arimo" w:cs="Arimo"/>
        <w:b w:val="0"/>
        <w:i w:val="0"/>
        <w:smallCaps w:val="0"/>
        <w:strike w:val="0"/>
        <w:color w:val="000000"/>
        <w:sz w:val="20"/>
        <w:szCs w:val="2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shd w:val="clear" w:color="auto" w:fill="auto"/>
        <w:vertAlign w:val="baseline"/>
      </w:rPr>
    </w:lvl>
  </w:abstractNum>
  <w:abstractNum w:abstractNumId="3" w15:restartNumberingAfterBreak="0">
    <w:nsid w:val="1BEC6366"/>
    <w:multiLevelType w:val="multilevel"/>
    <w:tmpl w:val="0DA605E0"/>
    <w:lvl w:ilvl="0">
      <w:start w:val="1"/>
      <w:numFmt w:val="bullet"/>
      <w:lvlText w:val="o"/>
      <w:lvlJc w:val="left"/>
      <w:pPr>
        <w:ind w:left="360" w:hanging="360"/>
      </w:pPr>
      <w:rPr>
        <w:smallCaps w:val="0"/>
        <w:strike w:val="0"/>
        <w:color w:val="000000"/>
        <w:shd w:val="clear" w:color="auto" w:fill="auto"/>
        <w:vertAlign w:val="baseline"/>
      </w:rPr>
    </w:lvl>
    <w:lvl w:ilvl="1">
      <w:start w:val="1"/>
      <w:numFmt w:val="bullet"/>
      <w:lvlText w:val="o"/>
      <w:lvlJc w:val="left"/>
      <w:pPr>
        <w:ind w:left="1440" w:hanging="360"/>
      </w:pPr>
      <w:rPr>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hd w:val="clear" w:color="auto" w:fill="auto"/>
        <w:vertAlign w:val="baseline"/>
      </w:rPr>
    </w:lvl>
    <w:lvl w:ilvl="4">
      <w:start w:val="1"/>
      <w:numFmt w:val="bullet"/>
      <w:lvlText w:val="□"/>
      <w:lvlJc w:val="left"/>
      <w:pPr>
        <w:ind w:left="3600" w:hanging="360"/>
      </w:pPr>
      <w:rPr>
        <w:rFonts w:ascii="Noto Sans Symbols" w:eastAsia="Noto Sans Symbols" w:hAnsi="Noto Sans Symbols" w:cs="Noto Sans Symbols"/>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hd w:val="clear" w:color="auto" w:fill="auto"/>
        <w:vertAlign w:val="baseline"/>
      </w:rPr>
    </w:lvl>
    <w:lvl w:ilvl="7">
      <w:start w:val="1"/>
      <w:numFmt w:val="bullet"/>
      <w:lvlText w:val="□"/>
      <w:lvlJc w:val="left"/>
      <w:pPr>
        <w:ind w:left="5760" w:hanging="360"/>
      </w:pPr>
      <w:rPr>
        <w:rFonts w:ascii="Noto Sans Symbols" w:eastAsia="Noto Sans Symbols" w:hAnsi="Noto Sans Symbols" w:cs="Noto Sans Symbols"/>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4" w15:restartNumberingAfterBreak="0">
    <w:nsid w:val="23EF2F0D"/>
    <w:multiLevelType w:val="multilevel"/>
    <w:tmpl w:val="7578F726"/>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z w:val="20"/>
        <w:szCs w:val="20"/>
        <w:shd w:val="clear" w:color="auto" w:fill="auto"/>
        <w:vertAlign w:val="baseline"/>
      </w:rPr>
    </w:lvl>
    <w:lvl w:ilvl="4">
      <w:start w:val="1"/>
      <w:numFmt w:val="bullet"/>
      <w:lvlText w:val="▪"/>
      <w:lvlJc w:val="left"/>
      <w:pPr>
        <w:ind w:left="3600" w:hanging="360"/>
      </w:pPr>
      <w:rPr>
        <w:rFonts w:ascii="Arimo" w:eastAsia="Arimo" w:hAnsi="Arimo" w:cs="Arimo"/>
        <w:b w:val="0"/>
        <w:i w:val="0"/>
        <w:smallCaps w:val="0"/>
        <w:strike w:val="0"/>
        <w:color w:val="000000"/>
        <w:sz w:val="20"/>
        <w:szCs w:val="2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z w:val="20"/>
        <w:szCs w:val="20"/>
        <w:shd w:val="clear" w:color="auto" w:fill="auto"/>
        <w:vertAlign w:val="baseline"/>
      </w:rPr>
    </w:lvl>
    <w:lvl w:ilvl="7">
      <w:start w:val="1"/>
      <w:numFmt w:val="bullet"/>
      <w:lvlText w:val="▪"/>
      <w:lvlJc w:val="left"/>
      <w:pPr>
        <w:ind w:left="5760" w:hanging="360"/>
      </w:pPr>
      <w:rPr>
        <w:rFonts w:ascii="Arimo" w:eastAsia="Arimo" w:hAnsi="Arimo" w:cs="Arimo"/>
        <w:b w:val="0"/>
        <w:i w:val="0"/>
        <w:smallCaps w:val="0"/>
        <w:strike w:val="0"/>
        <w:color w:val="000000"/>
        <w:sz w:val="20"/>
        <w:szCs w:val="2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shd w:val="clear" w:color="auto" w:fill="auto"/>
        <w:vertAlign w:val="baseline"/>
      </w:rPr>
    </w:lvl>
  </w:abstractNum>
  <w:abstractNum w:abstractNumId="5" w15:restartNumberingAfterBreak="0">
    <w:nsid w:val="24A20983"/>
    <w:multiLevelType w:val="multilevel"/>
    <w:tmpl w:val="37CC1E1E"/>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6" w15:restartNumberingAfterBreak="0">
    <w:nsid w:val="31C46161"/>
    <w:multiLevelType w:val="multilevel"/>
    <w:tmpl w:val="36C6D992"/>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z w:val="20"/>
        <w:szCs w:val="20"/>
        <w:shd w:val="clear" w:color="auto" w:fill="auto"/>
        <w:vertAlign w:val="baseline"/>
      </w:rPr>
    </w:lvl>
    <w:lvl w:ilvl="4">
      <w:start w:val="1"/>
      <w:numFmt w:val="bullet"/>
      <w:lvlText w:val="▪"/>
      <w:lvlJc w:val="left"/>
      <w:pPr>
        <w:ind w:left="3600" w:hanging="360"/>
      </w:pPr>
      <w:rPr>
        <w:rFonts w:ascii="Arimo" w:eastAsia="Arimo" w:hAnsi="Arimo" w:cs="Arimo"/>
        <w:b w:val="0"/>
        <w:i w:val="0"/>
        <w:smallCaps w:val="0"/>
        <w:strike w:val="0"/>
        <w:color w:val="000000"/>
        <w:sz w:val="20"/>
        <w:szCs w:val="2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z w:val="20"/>
        <w:szCs w:val="20"/>
        <w:shd w:val="clear" w:color="auto" w:fill="auto"/>
        <w:vertAlign w:val="baseline"/>
      </w:rPr>
    </w:lvl>
    <w:lvl w:ilvl="7">
      <w:start w:val="1"/>
      <w:numFmt w:val="bullet"/>
      <w:lvlText w:val="▪"/>
      <w:lvlJc w:val="left"/>
      <w:pPr>
        <w:ind w:left="5760" w:hanging="360"/>
      </w:pPr>
      <w:rPr>
        <w:rFonts w:ascii="Arimo" w:eastAsia="Arimo" w:hAnsi="Arimo" w:cs="Arimo"/>
        <w:b w:val="0"/>
        <w:i w:val="0"/>
        <w:smallCaps w:val="0"/>
        <w:strike w:val="0"/>
        <w:color w:val="000000"/>
        <w:sz w:val="20"/>
        <w:szCs w:val="2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shd w:val="clear" w:color="auto" w:fill="auto"/>
        <w:vertAlign w:val="baseline"/>
      </w:rPr>
    </w:lvl>
  </w:abstractNum>
  <w:abstractNum w:abstractNumId="7" w15:restartNumberingAfterBreak="0">
    <w:nsid w:val="31C80C03"/>
    <w:multiLevelType w:val="multilevel"/>
    <w:tmpl w:val="F270395E"/>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8" w15:restartNumberingAfterBreak="0">
    <w:nsid w:val="343878D9"/>
    <w:multiLevelType w:val="multilevel"/>
    <w:tmpl w:val="E79E54C8"/>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9" w15:restartNumberingAfterBreak="0">
    <w:nsid w:val="34A66FC6"/>
    <w:multiLevelType w:val="multilevel"/>
    <w:tmpl w:val="7A80FCFE"/>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10" w15:restartNumberingAfterBreak="0">
    <w:nsid w:val="4F9F3D73"/>
    <w:multiLevelType w:val="multilevel"/>
    <w:tmpl w:val="3DDC9DBA"/>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11" w15:restartNumberingAfterBreak="0">
    <w:nsid w:val="57AA62FE"/>
    <w:multiLevelType w:val="multilevel"/>
    <w:tmpl w:val="C60085FA"/>
    <w:lvl w:ilvl="0">
      <w:start w:val="1"/>
      <w:numFmt w:val="bullet"/>
      <w:lvlText w:val="o"/>
      <w:lvlJc w:val="left"/>
      <w:pPr>
        <w:ind w:left="360" w:hanging="360"/>
      </w:pPr>
      <w:rPr>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shd w:val="clear" w:color="auto" w:fill="auto"/>
        <w:vertAlign w:val="baseline"/>
      </w:rPr>
    </w:lvl>
  </w:abstractNum>
  <w:abstractNum w:abstractNumId="12" w15:restartNumberingAfterBreak="0">
    <w:nsid w:val="5CC837D7"/>
    <w:multiLevelType w:val="multilevel"/>
    <w:tmpl w:val="F8987400"/>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hd w:val="clear" w:color="auto" w:fill="auto"/>
        <w:vertAlign w:val="baseline"/>
      </w:rPr>
    </w:lvl>
    <w:lvl w:ilvl="3">
      <w:start w:val="1"/>
      <w:numFmt w:val="bullet"/>
      <w:lvlText w:val="●"/>
      <w:lvlJc w:val="left"/>
      <w:pPr>
        <w:ind w:left="2880" w:hanging="360"/>
      </w:pPr>
      <w:rPr>
        <w:rFonts w:ascii="Noto Sans Symbols" w:eastAsia="Noto Sans Symbols" w:hAnsi="Noto Sans Symbols" w:cs="Noto Sans Symbols"/>
        <w:b w:val="0"/>
        <w:i w:val="0"/>
        <w:smallCaps w:val="0"/>
        <w:strike w:val="0"/>
        <w:color w:val="000000"/>
        <w:shd w:val="clear" w:color="auto" w:fill="auto"/>
        <w:vertAlign w:val="baseline"/>
      </w:rPr>
    </w:lvl>
    <w:lvl w:ilvl="4">
      <w:start w:val="1"/>
      <w:numFmt w:val="bullet"/>
      <w:lvlText w:val="o"/>
      <w:lvlJc w:val="left"/>
      <w:pPr>
        <w:ind w:left="3600" w:hanging="360"/>
      </w:pPr>
      <w:rPr>
        <w:rFonts w:ascii="Arimo" w:eastAsia="Arimo" w:hAnsi="Arimo" w:cs="Arimo"/>
        <w:b w:val="0"/>
        <w:i w:val="0"/>
        <w:smallCaps w:val="0"/>
        <w:strike w:val="0"/>
        <w:color w:val="00000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hd w:val="clear" w:color="auto" w:fill="auto"/>
        <w:vertAlign w:val="baseline"/>
      </w:rPr>
    </w:lvl>
    <w:lvl w:ilvl="6">
      <w:start w:val="1"/>
      <w:numFmt w:val="bullet"/>
      <w:lvlText w:val="●"/>
      <w:lvlJc w:val="left"/>
      <w:pPr>
        <w:ind w:left="5040" w:hanging="360"/>
      </w:pPr>
      <w:rPr>
        <w:rFonts w:ascii="Noto Sans Symbols" w:eastAsia="Noto Sans Symbols" w:hAnsi="Noto Sans Symbols" w:cs="Noto Sans Symbols"/>
        <w:b w:val="0"/>
        <w:i w:val="0"/>
        <w:smallCaps w:val="0"/>
        <w:strike w:val="0"/>
        <w:color w:val="000000"/>
        <w:shd w:val="clear" w:color="auto" w:fill="auto"/>
        <w:vertAlign w:val="baseline"/>
      </w:rPr>
    </w:lvl>
    <w:lvl w:ilvl="7">
      <w:start w:val="1"/>
      <w:numFmt w:val="bullet"/>
      <w:lvlText w:val="o"/>
      <w:lvlJc w:val="left"/>
      <w:pPr>
        <w:ind w:left="5760" w:hanging="360"/>
      </w:pPr>
      <w:rPr>
        <w:rFonts w:ascii="Arimo" w:eastAsia="Arimo" w:hAnsi="Arimo" w:cs="Arimo"/>
        <w:b w:val="0"/>
        <w:i w:val="0"/>
        <w:smallCaps w:val="0"/>
        <w:strike w:val="0"/>
        <w:color w:val="00000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hd w:val="clear" w:color="auto" w:fill="auto"/>
        <w:vertAlign w:val="baseline"/>
      </w:rPr>
    </w:lvl>
  </w:abstractNum>
  <w:abstractNum w:abstractNumId="13" w15:restartNumberingAfterBreak="0">
    <w:nsid w:val="752145EE"/>
    <w:multiLevelType w:val="multilevel"/>
    <w:tmpl w:val="DD28F97E"/>
    <w:lvl w:ilvl="0">
      <w:start w:val="1"/>
      <w:numFmt w:val="decimal"/>
      <w:lvlText w:val="%1."/>
      <w:lvlJc w:val="left"/>
      <w:pPr>
        <w:ind w:left="720" w:hanging="360"/>
      </w:pPr>
      <w:rPr>
        <w:smallCaps w:val="0"/>
        <w:strike w:val="0"/>
        <w:color w:val="000000"/>
        <w:shd w:val="clear" w:color="auto" w:fill="auto"/>
        <w:vertAlign w:val="baseline"/>
      </w:rPr>
    </w:lvl>
    <w:lvl w:ilvl="1">
      <w:start w:val="1"/>
      <w:numFmt w:val="decimal"/>
      <w:lvlText w:val="%2."/>
      <w:lvlJc w:val="left"/>
      <w:pPr>
        <w:ind w:left="1080" w:hanging="360"/>
      </w:pPr>
      <w:rPr>
        <w:smallCaps w:val="0"/>
        <w:strike w:val="0"/>
        <w:color w:val="000000"/>
        <w:shd w:val="clear" w:color="auto" w:fill="auto"/>
        <w:vertAlign w:val="baseline"/>
      </w:rPr>
    </w:lvl>
    <w:lvl w:ilvl="2">
      <w:start w:val="1"/>
      <w:numFmt w:val="decimal"/>
      <w:lvlText w:val="%3."/>
      <w:lvlJc w:val="left"/>
      <w:pPr>
        <w:ind w:left="1800" w:hanging="360"/>
      </w:pPr>
      <w:rPr>
        <w:smallCaps w:val="0"/>
        <w:strike w:val="0"/>
        <w:color w:val="000000"/>
        <w:shd w:val="clear" w:color="auto" w:fill="auto"/>
        <w:vertAlign w:val="baseline"/>
      </w:rPr>
    </w:lvl>
    <w:lvl w:ilvl="3">
      <w:start w:val="1"/>
      <w:numFmt w:val="decimal"/>
      <w:lvlText w:val="%4."/>
      <w:lvlJc w:val="left"/>
      <w:pPr>
        <w:ind w:left="2520" w:hanging="360"/>
      </w:pPr>
      <w:rPr>
        <w:smallCaps w:val="0"/>
        <w:strike w:val="0"/>
        <w:color w:val="000000"/>
        <w:shd w:val="clear" w:color="auto" w:fill="auto"/>
        <w:vertAlign w:val="baseline"/>
      </w:rPr>
    </w:lvl>
    <w:lvl w:ilvl="4">
      <w:start w:val="1"/>
      <w:numFmt w:val="decimal"/>
      <w:lvlText w:val="%5."/>
      <w:lvlJc w:val="left"/>
      <w:pPr>
        <w:ind w:left="3240" w:hanging="360"/>
      </w:pPr>
      <w:rPr>
        <w:smallCaps w:val="0"/>
        <w:strike w:val="0"/>
        <w:color w:val="000000"/>
        <w:shd w:val="clear" w:color="auto" w:fill="auto"/>
        <w:vertAlign w:val="baseline"/>
      </w:rPr>
    </w:lvl>
    <w:lvl w:ilvl="5">
      <w:start w:val="1"/>
      <w:numFmt w:val="decimal"/>
      <w:lvlText w:val="%6."/>
      <w:lvlJc w:val="left"/>
      <w:pPr>
        <w:ind w:left="3960" w:hanging="360"/>
      </w:pPr>
      <w:rPr>
        <w:smallCaps w:val="0"/>
        <w:strike w:val="0"/>
        <w:color w:val="000000"/>
        <w:shd w:val="clear" w:color="auto" w:fill="auto"/>
        <w:vertAlign w:val="baseline"/>
      </w:rPr>
    </w:lvl>
    <w:lvl w:ilvl="6">
      <w:start w:val="1"/>
      <w:numFmt w:val="decimal"/>
      <w:lvlText w:val="%7."/>
      <w:lvlJc w:val="left"/>
      <w:pPr>
        <w:ind w:left="4680" w:hanging="360"/>
      </w:pPr>
      <w:rPr>
        <w:smallCaps w:val="0"/>
        <w:strike w:val="0"/>
        <w:color w:val="000000"/>
        <w:shd w:val="clear" w:color="auto" w:fill="auto"/>
        <w:vertAlign w:val="baseline"/>
      </w:rPr>
    </w:lvl>
    <w:lvl w:ilvl="7">
      <w:start w:val="1"/>
      <w:numFmt w:val="decimal"/>
      <w:lvlText w:val="%8."/>
      <w:lvlJc w:val="left"/>
      <w:pPr>
        <w:ind w:left="5400" w:hanging="360"/>
      </w:pPr>
      <w:rPr>
        <w:smallCaps w:val="0"/>
        <w:strike w:val="0"/>
        <w:color w:val="000000"/>
        <w:shd w:val="clear" w:color="auto" w:fill="auto"/>
        <w:vertAlign w:val="baseline"/>
      </w:rPr>
    </w:lvl>
    <w:lvl w:ilvl="8">
      <w:start w:val="1"/>
      <w:numFmt w:val="decimal"/>
      <w:lvlText w:val="%9."/>
      <w:lvlJc w:val="left"/>
      <w:pPr>
        <w:ind w:left="6120" w:hanging="360"/>
      </w:pPr>
      <w:rPr>
        <w:smallCaps w:val="0"/>
        <w:strike w:val="0"/>
        <w:color w:val="000000"/>
        <w:shd w:val="clear" w:color="auto" w:fill="auto"/>
        <w:vertAlign w:val="baseline"/>
      </w:rPr>
    </w:lvl>
  </w:abstractNum>
  <w:abstractNum w:abstractNumId="14" w15:restartNumberingAfterBreak="0">
    <w:nsid w:val="7ECC23FD"/>
    <w:multiLevelType w:val="multilevel"/>
    <w:tmpl w:val="B1E889EA"/>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0"/>
        <w:szCs w:val="20"/>
        <w:shd w:val="clear" w:color="auto" w:fill="auto"/>
        <w:vertAlign w:val="baseline"/>
      </w:rPr>
    </w:lvl>
    <w:lvl w:ilvl="1">
      <w:start w:val="1"/>
      <w:numFmt w:val="bullet"/>
      <w:lvlText w:val="o"/>
      <w:lvlJc w:val="left"/>
      <w:pPr>
        <w:ind w:left="1440" w:hanging="360"/>
      </w:pPr>
      <w:rPr>
        <w:rFonts w:ascii="Arimo" w:eastAsia="Arimo" w:hAnsi="Arimo" w:cs="Arimo"/>
        <w:b w:val="0"/>
        <w:i w:val="0"/>
        <w:smallCaps w:val="0"/>
        <w:strike w:val="0"/>
        <w:color w:val="000000"/>
        <w:sz w:val="20"/>
        <w:szCs w:val="20"/>
        <w:shd w:val="clear" w:color="auto" w:fill="auto"/>
        <w:vertAlign w:val="baseline"/>
      </w:rPr>
    </w:lvl>
    <w:lvl w:ilvl="2">
      <w:start w:val="1"/>
      <w:numFmt w:val="bullet"/>
      <w:lvlText w:val="▪"/>
      <w:lvlJc w:val="left"/>
      <w:pPr>
        <w:ind w:left="2160" w:hanging="360"/>
      </w:pPr>
      <w:rPr>
        <w:rFonts w:ascii="Arimo" w:eastAsia="Arimo" w:hAnsi="Arimo" w:cs="Arimo"/>
        <w:b w:val="0"/>
        <w:i w:val="0"/>
        <w:smallCaps w:val="0"/>
        <w:strike w:val="0"/>
        <w:color w:val="000000"/>
        <w:sz w:val="20"/>
        <w:szCs w:val="20"/>
        <w:shd w:val="clear" w:color="auto" w:fill="auto"/>
        <w:vertAlign w:val="baseline"/>
      </w:rPr>
    </w:lvl>
    <w:lvl w:ilvl="3">
      <w:start w:val="1"/>
      <w:numFmt w:val="bullet"/>
      <w:lvlText w:val="▪"/>
      <w:lvlJc w:val="left"/>
      <w:pPr>
        <w:ind w:left="2880" w:hanging="360"/>
      </w:pPr>
      <w:rPr>
        <w:rFonts w:ascii="Arimo" w:eastAsia="Arimo" w:hAnsi="Arimo" w:cs="Arimo"/>
        <w:b w:val="0"/>
        <w:i w:val="0"/>
        <w:smallCaps w:val="0"/>
        <w:strike w:val="0"/>
        <w:color w:val="000000"/>
        <w:sz w:val="20"/>
        <w:szCs w:val="20"/>
        <w:shd w:val="clear" w:color="auto" w:fill="auto"/>
        <w:vertAlign w:val="baseline"/>
      </w:rPr>
    </w:lvl>
    <w:lvl w:ilvl="4">
      <w:start w:val="1"/>
      <w:numFmt w:val="bullet"/>
      <w:lvlText w:val="▪"/>
      <w:lvlJc w:val="left"/>
      <w:pPr>
        <w:ind w:left="3600" w:hanging="360"/>
      </w:pPr>
      <w:rPr>
        <w:rFonts w:ascii="Arimo" w:eastAsia="Arimo" w:hAnsi="Arimo" w:cs="Arimo"/>
        <w:b w:val="0"/>
        <w:i w:val="0"/>
        <w:smallCaps w:val="0"/>
        <w:strike w:val="0"/>
        <w:color w:val="000000"/>
        <w:sz w:val="20"/>
        <w:szCs w:val="20"/>
        <w:shd w:val="clear" w:color="auto" w:fill="auto"/>
        <w:vertAlign w:val="baseline"/>
      </w:rPr>
    </w:lvl>
    <w:lvl w:ilvl="5">
      <w:start w:val="1"/>
      <w:numFmt w:val="bullet"/>
      <w:lvlText w:val="▪"/>
      <w:lvlJc w:val="left"/>
      <w:pPr>
        <w:ind w:left="4320" w:hanging="360"/>
      </w:pPr>
      <w:rPr>
        <w:rFonts w:ascii="Arimo" w:eastAsia="Arimo" w:hAnsi="Arimo" w:cs="Arimo"/>
        <w:b w:val="0"/>
        <w:i w:val="0"/>
        <w:smallCaps w:val="0"/>
        <w:strike w:val="0"/>
        <w:color w:val="000000"/>
        <w:sz w:val="20"/>
        <w:szCs w:val="20"/>
        <w:shd w:val="clear" w:color="auto" w:fill="auto"/>
        <w:vertAlign w:val="baseline"/>
      </w:rPr>
    </w:lvl>
    <w:lvl w:ilvl="6">
      <w:start w:val="1"/>
      <w:numFmt w:val="bullet"/>
      <w:lvlText w:val="▪"/>
      <w:lvlJc w:val="left"/>
      <w:pPr>
        <w:ind w:left="5040" w:hanging="360"/>
      </w:pPr>
      <w:rPr>
        <w:rFonts w:ascii="Arimo" w:eastAsia="Arimo" w:hAnsi="Arimo" w:cs="Arimo"/>
        <w:b w:val="0"/>
        <w:i w:val="0"/>
        <w:smallCaps w:val="0"/>
        <w:strike w:val="0"/>
        <w:color w:val="000000"/>
        <w:sz w:val="20"/>
        <w:szCs w:val="20"/>
        <w:shd w:val="clear" w:color="auto" w:fill="auto"/>
        <w:vertAlign w:val="baseline"/>
      </w:rPr>
    </w:lvl>
    <w:lvl w:ilvl="7">
      <w:start w:val="1"/>
      <w:numFmt w:val="bullet"/>
      <w:lvlText w:val="▪"/>
      <w:lvlJc w:val="left"/>
      <w:pPr>
        <w:ind w:left="5760" w:hanging="360"/>
      </w:pPr>
      <w:rPr>
        <w:rFonts w:ascii="Arimo" w:eastAsia="Arimo" w:hAnsi="Arimo" w:cs="Arimo"/>
        <w:b w:val="0"/>
        <w:i w:val="0"/>
        <w:smallCaps w:val="0"/>
        <w:strike w:val="0"/>
        <w:color w:val="000000"/>
        <w:sz w:val="20"/>
        <w:szCs w:val="20"/>
        <w:shd w:val="clear" w:color="auto" w:fill="auto"/>
        <w:vertAlign w:val="baseline"/>
      </w:rPr>
    </w:lvl>
    <w:lvl w:ilvl="8">
      <w:start w:val="1"/>
      <w:numFmt w:val="bullet"/>
      <w:lvlText w:val="▪"/>
      <w:lvlJc w:val="left"/>
      <w:pPr>
        <w:ind w:left="6480" w:hanging="360"/>
      </w:pPr>
      <w:rPr>
        <w:rFonts w:ascii="Arimo" w:eastAsia="Arimo" w:hAnsi="Arimo" w:cs="Arimo"/>
        <w:b w:val="0"/>
        <w:i w:val="0"/>
        <w:smallCaps w:val="0"/>
        <w:strike w:val="0"/>
        <w:color w:val="000000"/>
        <w:sz w:val="20"/>
        <w:szCs w:val="20"/>
        <w:shd w:val="clear" w:color="auto" w:fill="auto"/>
        <w:vertAlign w:val="baseline"/>
      </w:rPr>
    </w:lvl>
  </w:abstractNum>
  <w:num w:numId="1">
    <w:abstractNumId w:val="3"/>
  </w:num>
  <w:num w:numId="2">
    <w:abstractNumId w:val="11"/>
  </w:num>
  <w:num w:numId="3">
    <w:abstractNumId w:val="9"/>
  </w:num>
  <w:num w:numId="4">
    <w:abstractNumId w:val="7"/>
  </w:num>
  <w:num w:numId="5">
    <w:abstractNumId w:val="2"/>
  </w:num>
  <w:num w:numId="6">
    <w:abstractNumId w:val="0"/>
  </w:num>
  <w:num w:numId="7">
    <w:abstractNumId w:val="12"/>
  </w:num>
  <w:num w:numId="8">
    <w:abstractNumId w:val="10"/>
  </w:num>
  <w:num w:numId="9">
    <w:abstractNumId w:val="6"/>
  </w:num>
  <w:num w:numId="10">
    <w:abstractNumId w:val="8"/>
  </w:num>
  <w:num w:numId="11">
    <w:abstractNumId w:val="13"/>
  </w:num>
  <w:num w:numId="12">
    <w:abstractNumId w:val="14"/>
  </w:num>
  <w:num w:numId="13">
    <w:abstractNumId w:val="4"/>
  </w:num>
  <w:num w:numId="14">
    <w:abstractNumId w:val="1"/>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4"/>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183ED7"/>
    <w:rsid w:val="00094FF6"/>
    <w:rsid w:val="00183ED7"/>
    <w:rsid w:val="005C5C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463F07"/>
  <w15:docId w15:val="{1D2ACBFA-3B3B-1244-BF12-6D2AA31EB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094FF6"/>
    <w:rPr>
      <w:sz w:val="18"/>
      <w:szCs w:val="18"/>
    </w:rPr>
  </w:style>
  <w:style w:type="character" w:customStyle="1" w:styleId="BalloonTextChar">
    <w:name w:val="Balloon Text Char"/>
    <w:basedOn w:val="DefaultParagraphFont"/>
    <w:link w:val="BalloonText"/>
    <w:uiPriority w:val="99"/>
    <w:semiHidden/>
    <w:rsid w:val="00094FF6"/>
    <w:rPr>
      <w:sz w:val="18"/>
      <w:szCs w:val="18"/>
    </w:rPr>
  </w:style>
  <w:style w:type="paragraph" w:styleId="Revision">
    <w:name w:val="Revision"/>
    <w:hidden/>
    <w:uiPriority w:val="99"/>
    <w:semiHidden/>
    <w:rsid w:val="00094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1357</Words>
  <Characters>7736</Characters>
  <Application>Microsoft Office Word</Application>
  <DocSecurity>0</DocSecurity>
  <Lines>64</Lines>
  <Paragraphs>18</Paragraphs>
  <ScaleCrop>false</ScaleCrop>
  <Company/>
  <LinksUpToDate>false</LinksUpToDate>
  <CharactersWithSpaces>9075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Bruce J. Goldberg</cp:lastModifiedBy>
  <cp:revision>2</cp:revision>
  <dcterms:created xsi:type="dcterms:W3CDTF">2018-08-27T16:38:00Z</dcterms:created>
  <dcterms:modified xsi:type="dcterms:W3CDTF">2018-08-27T16:38:00Z</dcterms:modified>
</cp:coreProperties>
</file>